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9EB35"/>
    <w:p w14:paraId="1E75DC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                                                        Утверждено приказом</w:t>
      </w:r>
    </w:p>
    <w:p w14:paraId="6EA84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       заведующего</w:t>
      </w:r>
    </w:p>
    <w:p w14:paraId="36E0CB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3 от «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» 03.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                                     №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от «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» 03.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489F066D">
      <w:pPr>
        <w:rPr>
          <w:rFonts w:ascii="Times New Roman" w:hAnsi="Times New Roman" w:cs="Times New Roman"/>
        </w:rPr>
      </w:pPr>
    </w:p>
    <w:p w14:paraId="5373B454">
      <w:pPr>
        <w:rPr>
          <w:rFonts w:ascii="Times New Roman" w:hAnsi="Times New Roman" w:cs="Times New Roman"/>
        </w:rPr>
      </w:pPr>
    </w:p>
    <w:p w14:paraId="6982C9AC">
      <w:pPr>
        <w:rPr>
          <w:rFonts w:ascii="Times New Roman" w:hAnsi="Times New Roman" w:cs="Times New Roman"/>
        </w:rPr>
      </w:pPr>
    </w:p>
    <w:p w14:paraId="002E6E5A">
      <w:pPr>
        <w:rPr>
          <w:rFonts w:ascii="Times New Roman" w:hAnsi="Times New Roman" w:cs="Times New Roman"/>
        </w:rPr>
      </w:pPr>
    </w:p>
    <w:p w14:paraId="7E20EAC9">
      <w:pPr>
        <w:rPr>
          <w:rFonts w:ascii="Times New Roman" w:hAnsi="Times New Roman" w:cs="Times New Roman"/>
        </w:rPr>
      </w:pPr>
    </w:p>
    <w:p w14:paraId="288034B9">
      <w:pPr>
        <w:rPr>
          <w:rFonts w:ascii="Times New Roman" w:hAnsi="Times New Roman" w:cs="Times New Roman"/>
        </w:rPr>
      </w:pPr>
    </w:p>
    <w:p w14:paraId="4B8FD804">
      <w:pPr>
        <w:rPr>
          <w:rFonts w:ascii="Times New Roman" w:hAnsi="Times New Roman" w:cs="Times New Roman"/>
          <w:sz w:val="24"/>
          <w:szCs w:val="24"/>
        </w:rPr>
      </w:pPr>
    </w:p>
    <w:p w14:paraId="591280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14:paraId="182D8F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самообследования</w:t>
      </w:r>
    </w:p>
    <w:p w14:paraId="094B7F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</w:t>
      </w:r>
    </w:p>
    <w:p w14:paraId="02065B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</w:p>
    <w:p w14:paraId="13FC3B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Лучовский детский сад» </w:t>
      </w:r>
    </w:p>
    <w:p w14:paraId="6A84DF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Чистопольского муниципального района </w:t>
      </w:r>
    </w:p>
    <w:p w14:paraId="730A85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</w:p>
    <w:p w14:paraId="6B9D73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14:paraId="7F10D7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8D140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E83CA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9A2E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C911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78C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6853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F4DB3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AEF3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Чистополь,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F77D19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СОДЕРЖАНИЕ</w:t>
      </w:r>
    </w:p>
    <w:p w14:paraId="3677425A">
      <w:pPr>
        <w:pStyle w:val="1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………………………………………………………………………………3</w:t>
      </w:r>
    </w:p>
    <w:p w14:paraId="24570FF1">
      <w:pPr>
        <w:pStyle w:val="1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Система управления организации …………………………………………………..5</w:t>
      </w:r>
    </w:p>
    <w:p w14:paraId="3B14C0C7">
      <w:pPr>
        <w:pStyle w:val="1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Оценка образовательной деятельности ……………………………………………</w:t>
      </w:r>
      <w:r>
        <w:rPr>
          <w:rFonts w:ascii="Times New Roman" w:hAnsi="Times New Roman" w:eastAsia="Times New Roman" w:cs="Times New Roman"/>
          <w:bCs/>
          <w:sz w:val="24"/>
          <w:szCs w:val="24"/>
          <w:lang w:val="en-US"/>
        </w:rPr>
        <w:t>.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.5</w:t>
      </w:r>
    </w:p>
    <w:p w14:paraId="459761AE">
      <w:pPr>
        <w:pStyle w:val="1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Оценка функционирования внутренней системы оценки качества образования 10</w:t>
      </w:r>
    </w:p>
    <w:p w14:paraId="577A8073">
      <w:pPr>
        <w:pStyle w:val="1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Оценка кадрового обеспечения …………………………………………………....12</w:t>
      </w:r>
    </w:p>
    <w:p w14:paraId="174B75BD">
      <w:pPr>
        <w:pStyle w:val="1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Оценка учебно-методического  обеспечения</w:t>
      </w:r>
      <w:r>
        <w:rPr>
          <w:rFonts w:ascii="Times New Roman" w:hAnsi="Times New Roman" w:eastAsia="Times New Roman" w:cs="Times New Roman"/>
          <w:bCs/>
          <w:sz w:val="24"/>
          <w:szCs w:val="24"/>
          <w:lang w:val="en-US"/>
        </w:rPr>
        <w:t>………………………………………1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5</w:t>
      </w:r>
    </w:p>
    <w:p w14:paraId="3FB64C60">
      <w:pPr>
        <w:pStyle w:val="1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Оценка материально-технической базы…………………………………....14</w:t>
      </w:r>
    </w:p>
    <w:p w14:paraId="526C5854">
      <w:pPr>
        <w:pStyle w:val="1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Оценка   библиотечно-информационного обеспечения</w:t>
      </w:r>
      <w:r>
        <w:rPr>
          <w:rFonts w:ascii="Times New Roman" w:hAnsi="Times New Roman" w:eastAsia="Times New Roman" w:cs="Times New Roman"/>
          <w:bCs/>
          <w:sz w:val="24"/>
          <w:szCs w:val="24"/>
          <w:lang w:val="en-US"/>
        </w:rPr>
        <w:t xml:space="preserve"> …………………1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6</w:t>
      </w:r>
    </w:p>
    <w:p w14:paraId="26B9C851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bCs/>
          <w:sz w:val="24"/>
          <w:szCs w:val="24"/>
          <w:lang w:val="en-US" w:eastAsia="ru-RU"/>
        </w:rPr>
        <w:t>IX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Заключение </w:t>
      </w:r>
      <w:r>
        <w:rPr>
          <w:rFonts w:ascii="Times New Roman" w:hAnsi="Times New Roman" w:eastAsia="Times New Roman" w:cs="Times New Roman"/>
          <w:bCs/>
          <w:sz w:val="24"/>
          <w:szCs w:val="24"/>
          <w:lang w:val="en-US" w:eastAsia="ru-RU"/>
        </w:rPr>
        <w:t>………………………………………………………………………….1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6</w:t>
      </w:r>
    </w:p>
    <w:p w14:paraId="493AFF1F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en-US" w:eastAsia="ru-RU"/>
        </w:rPr>
      </w:pPr>
    </w:p>
    <w:p w14:paraId="1D336755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Приложение………………………………………………………………………………….</w:t>
      </w:r>
      <w:r>
        <w:rPr>
          <w:rFonts w:ascii="Times New Roman" w:hAnsi="Times New Roman" w:eastAsia="Times New Roman" w:cs="Times New Roman"/>
          <w:bCs/>
          <w:sz w:val="24"/>
          <w:szCs w:val="24"/>
          <w:lang w:val="en-US" w:eastAsia="ru-RU"/>
        </w:rPr>
        <w:t>.1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7</w:t>
      </w:r>
    </w:p>
    <w:p w14:paraId="6E131AD8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375FDD37">
      <w:pPr>
        <w:spacing w:after="0" w:line="240" w:lineRule="auto"/>
        <w:rPr>
          <w:rFonts w:ascii="Times New Roman" w:hAnsi="Times New Roman" w:eastAsiaTheme="minorEastAsia"/>
          <w:sz w:val="24"/>
          <w:szCs w:val="24"/>
          <w:lang w:eastAsia="ru-RU"/>
        </w:rPr>
      </w:pPr>
    </w:p>
    <w:p w14:paraId="25B844F2">
      <w:pPr>
        <w:spacing w:after="0" w:line="240" w:lineRule="auto"/>
        <w:rPr>
          <w:rFonts w:ascii="Times New Roman" w:hAnsi="Times New Roman" w:eastAsiaTheme="minorEastAsia"/>
          <w:b/>
          <w:sz w:val="24"/>
          <w:szCs w:val="24"/>
          <w:lang w:eastAsia="ru-RU"/>
        </w:rPr>
      </w:pPr>
    </w:p>
    <w:p w14:paraId="58881ED6">
      <w:pPr>
        <w:spacing w:after="0" w:line="240" w:lineRule="auto"/>
        <w:jc w:val="center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3BB759ED">
      <w:pPr>
        <w:pStyle w:val="15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76B8F42E">
      <w:pPr>
        <w:pStyle w:val="15"/>
        <w:rPr>
          <w:rFonts w:ascii="Times New Roman" w:hAnsi="Times New Roman" w:cs="Times New Roman"/>
          <w:sz w:val="24"/>
          <w:szCs w:val="24"/>
        </w:rPr>
      </w:pPr>
    </w:p>
    <w:p w14:paraId="5D5F639E"/>
    <w:p w14:paraId="32548D85"/>
    <w:p w14:paraId="3DA24C18"/>
    <w:p w14:paraId="6EE77A92"/>
    <w:p w14:paraId="2471861E"/>
    <w:p w14:paraId="49A2FBDD"/>
    <w:p w14:paraId="6B17168A"/>
    <w:p w14:paraId="0FB982B0"/>
    <w:p w14:paraId="4F0112CC"/>
    <w:p w14:paraId="4D3A4F36"/>
    <w:p w14:paraId="16A16B2C"/>
    <w:p w14:paraId="7167BAB3"/>
    <w:p w14:paraId="368FA2A4"/>
    <w:p w14:paraId="6CCEA3C7"/>
    <w:p w14:paraId="466A4825"/>
    <w:p w14:paraId="0E952AF2"/>
    <w:p w14:paraId="301ABFAC"/>
    <w:p w14:paraId="0FFCD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ОБЩИЕ СВЕДЕНИЯ</w:t>
      </w:r>
    </w:p>
    <w:p w14:paraId="3BFEEB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14:paraId="2B7B71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«Лучовский детский сад»</w:t>
      </w:r>
    </w:p>
    <w:p w14:paraId="479073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Чистопольского муниципального района Республики Татарстан</w:t>
      </w:r>
    </w:p>
    <w:p w14:paraId="4BF677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6202"/>
      </w:tblGrid>
      <w:tr w14:paraId="702AA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 w14:paraId="029E52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Наименование  организации</w:t>
            </w:r>
          </w:p>
          <w:p w14:paraId="6CE26C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17D118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BF7EE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887CEF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14:paraId="057100A5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Полное : Муниципальное бюджетное дошкольное образовательное учреждение «Лучовский детский сад» Чистопольского муниципального района Республики Татарстан               </w:t>
            </w:r>
          </w:p>
          <w:p w14:paraId="0FEDB8B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Краткое:  МБДОУ «Лучовский детский сад»</w:t>
            </w:r>
          </w:p>
        </w:tc>
      </w:tr>
      <w:tr w14:paraId="3D934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 w14:paraId="06CB2F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202" w:type="dxa"/>
            <w:shd w:val="clear" w:color="auto" w:fill="auto"/>
          </w:tcPr>
          <w:p w14:paraId="674D00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Малышева Людмила Александровна</w:t>
            </w:r>
          </w:p>
          <w:p w14:paraId="7C1CB6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CFF7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 w14:paraId="2453F0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Учредитель</w:t>
            </w:r>
          </w:p>
          <w:p w14:paraId="14BB86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5322FC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B130B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90652C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13F534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116780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354E71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629C5C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3327DE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5EDB9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558784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2473C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244698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738B34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297F22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6A5694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2A6244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781AA9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14:paraId="392D465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«Чистопольский муниципальный район»  Республики Татарстан (далее - «Учредитель»),функции и полномочия  которого осуществляет Исполнительный комитет Чистопольского муниципального района Республики Татарстан</w:t>
            </w:r>
          </w:p>
          <w:p w14:paraId="4BBC21C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9C2831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>Функции и полномочия Учредителя МБДОУ осуществляют:</w:t>
            </w:r>
          </w:p>
          <w:p w14:paraId="6D3EBF4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 xml:space="preserve">  Исполнительный комитет Чистопольского муниципального района Республики Татарстан (далее – Исполнительный комитет);</w:t>
            </w:r>
          </w:p>
          <w:p w14:paraId="7475945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 xml:space="preserve"> Палата земельных и имущественных отношений Чистопольского муниципального района Республики Татарстан (далее – Палата земельных и имущественных отношений);</w:t>
            </w:r>
          </w:p>
          <w:p w14:paraId="443338F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Муниципальное казенное учреждение «Управление образования Исполнительного комитета Чистопольского муниципального района Республики Татарстан» (далее – Управление образования).</w:t>
            </w:r>
          </w:p>
        </w:tc>
      </w:tr>
      <w:tr w14:paraId="3DB62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 w14:paraId="46799C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Адрес</w:t>
            </w:r>
          </w:p>
          <w:p w14:paraId="350CEF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1FC4BE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757D987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6202" w:type="dxa"/>
            <w:shd w:val="clear" w:color="auto" w:fill="auto"/>
          </w:tcPr>
          <w:p w14:paraId="533FEEF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422952, Республика Татарстан,  Чистопольский район, пос. Луч,  ул. Гагарина, д.  35 а.</w:t>
            </w:r>
          </w:p>
          <w:p w14:paraId="21AC603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F954CB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 6.00 до 18.00 час.</w:t>
            </w:r>
          </w:p>
        </w:tc>
      </w:tr>
      <w:tr w14:paraId="44A6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 w14:paraId="6F02D5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Телефон</w:t>
            </w:r>
          </w:p>
        </w:tc>
        <w:tc>
          <w:tcPr>
            <w:tcW w:w="6202" w:type="dxa"/>
            <w:shd w:val="clear" w:color="auto" w:fill="auto"/>
          </w:tcPr>
          <w:p w14:paraId="458A278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8(84342)4-81-02</w:t>
            </w:r>
          </w:p>
          <w:p w14:paraId="5C307ED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237B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 w14:paraId="438289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электронная  почта</w:t>
            </w:r>
          </w:p>
        </w:tc>
        <w:tc>
          <w:tcPr>
            <w:tcW w:w="6202" w:type="dxa"/>
            <w:shd w:val="clear" w:color="auto" w:fill="auto"/>
          </w:tcPr>
          <w:p w14:paraId="58D7C0D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"mailto:luch.ds@tatar.ru"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luch.ds@tatar.ru</w:t>
            </w:r>
            <w:r>
              <w:rPr>
                <w:rFonts w:ascii="Times New Roman" w:hAnsi="Times New Roman" w:eastAsia="Calibri" w:cs="Times New Roman"/>
                <w:color w:val="0000FF"/>
                <w:sz w:val="24"/>
                <w:szCs w:val="24"/>
                <w:u w:val="single"/>
                <w:lang w:val="en-US" w:eastAsia="ru-RU"/>
              </w:rPr>
              <w:fldChar w:fldCharType="end"/>
            </w:r>
          </w:p>
          <w:p w14:paraId="32AF9DB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3AE47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 w14:paraId="0B3588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6202" w:type="dxa"/>
            <w:shd w:val="clear" w:color="auto" w:fill="auto"/>
          </w:tcPr>
          <w:p w14:paraId="5ECE7E1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№ 7133от 04.09.2015 г.серия 16Л 01№0003049 </w:t>
            </w:r>
          </w:p>
          <w:p w14:paraId="2915C6B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EE13CF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Приложение № 1 серия 16 П 01 №0007098</w:t>
            </w:r>
          </w:p>
        </w:tc>
      </w:tr>
    </w:tbl>
    <w:p w14:paraId="29DECE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944F6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33070B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МБДОУ «Лучовский детский сад»   имеет тесное сотрудничество с информационно-методическим центром, центром социальной помощи семье и детям «Балкыш», МБОУ «Лучовскя СОШ», Лучовский дом культуры , Чистопольским «Центром занятости населения»,  центральной детской  библиотекой  г.Чистополя, МБОУ «Дворец  творчества детей и молодежи».</w:t>
      </w:r>
    </w:p>
    <w:p w14:paraId="5974222B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Установлено сотрудничество с ресурсными центрами: «Я и мир» базовый детский сад № 28, «Чишмэ» базовый детский сад № 1, «Музыкальных  руководителей» базовый детский сад № 23, площадка по ПДД -базовый детский сад  МАДОУ « Детский сад №20» , сетевое взаимодействие ДОО, куратором которого является МАДОУ "Детский сад №20"  Чистопольского муниципального района.</w:t>
      </w:r>
    </w:p>
    <w:p w14:paraId="6112B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Цель деятельности детского сада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осуществление образовательной деятельности по образовательным  программам  дошкольного образования.  </w:t>
      </w:r>
    </w:p>
    <w:p w14:paraId="417241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Предметом деятельности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детского сада является оказание населению услуг по предоставлению образования по образовательным программам дошкольного образования.</w:t>
      </w:r>
    </w:p>
    <w:p w14:paraId="3F47FF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576C0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Режим работы детского сада</w:t>
      </w:r>
    </w:p>
    <w:p w14:paraId="464EA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C344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Рабочая неделя – пятидневная, с понедельника по пятницу.</w:t>
      </w:r>
    </w:p>
    <w:p w14:paraId="3D0F1F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C3511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Длительность пребывания   детей в группах – 12 часов.</w:t>
      </w:r>
    </w:p>
    <w:p w14:paraId="0A736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1F046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Режим работы групп – с 6:00 до 18:00.</w:t>
      </w:r>
    </w:p>
    <w:p w14:paraId="2D605799">
      <w:pPr>
        <w:tabs>
          <w:tab w:val="left" w:pos="2685"/>
        </w:tabs>
        <w:jc w:val="center"/>
        <w:rPr>
          <w:rFonts w:eastAsiaTheme="minorEastAsia"/>
          <w:b/>
          <w:lang w:eastAsia="ru-RU"/>
        </w:rPr>
      </w:pPr>
    </w:p>
    <w:p w14:paraId="1B71D0E2">
      <w:pPr>
        <w:tabs>
          <w:tab w:val="left" w:pos="2685"/>
        </w:tabs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lang w:eastAsia="ru-RU"/>
        </w:rPr>
        <w:t xml:space="preserve">Распределение детей по группам здоровья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9"/>
        <w:gridCol w:w="3175"/>
        <w:gridCol w:w="3177"/>
      </w:tblGrid>
      <w:tr w14:paraId="3D245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471B24C1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Группа здоровья</w:t>
            </w:r>
          </w:p>
        </w:tc>
        <w:tc>
          <w:tcPr>
            <w:tcW w:w="3473" w:type="dxa"/>
          </w:tcPr>
          <w:p w14:paraId="0677CF8F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3474" w:type="dxa"/>
          </w:tcPr>
          <w:p w14:paraId="5777858C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14:paraId="1646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15B821F0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 группа</w:t>
            </w:r>
          </w:p>
        </w:tc>
        <w:tc>
          <w:tcPr>
            <w:tcW w:w="3473" w:type="dxa"/>
          </w:tcPr>
          <w:p w14:paraId="58087046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74" w:type="dxa"/>
          </w:tcPr>
          <w:p w14:paraId="4BE10A58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0%</w:t>
            </w:r>
          </w:p>
        </w:tc>
      </w:tr>
      <w:tr w14:paraId="6A8B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1D04EF45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2 группа</w:t>
            </w:r>
          </w:p>
        </w:tc>
        <w:tc>
          <w:tcPr>
            <w:tcW w:w="3473" w:type="dxa"/>
          </w:tcPr>
          <w:p w14:paraId="26F7E66A">
            <w:pPr>
              <w:tabs>
                <w:tab w:val="left" w:pos="2685"/>
                <w:tab w:val="left" w:pos="4515"/>
              </w:tabs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3474" w:type="dxa"/>
          </w:tcPr>
          <w:p w14:paraId="5764BE01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  <w:tr w14:paraId="4C6C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2DDE4758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 группа</w:t>
            </w:r>
          </w:p>
        </w:tc>
        <w:tc>
          <w:tcPr>
            <w:tcW w:w="3473" w:type="dxa"/>
          </w:tcPr>
          <w:p w14:paraId="50B25C71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3474" w:type="dxa"/>
          </w:tcPr>
          <w:p w14:paraId="587C8B12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14:paraId="026C9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6938B255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 группа</w:t>
            </w:r>
          </w:p>
        </w:tc>
        <w:tc>
          <w:tcPr>
            <w:tcW w:w="3473" w:type="dxa"/>
          </w:tcPr>
          <w:p w14:paraId="2683D6C9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74" w:type="dxa"/>
          </w:tcPr>
          <w:p w14:paraId="01BF6855">
            <w:pPr>
              <w:tabs>
                <w:tab w:val="left" w:pos="2685"/>
                <w:tab w:val="left" w:pos="4515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0%</w:t>
            </w:r>
          </w:p>
        </w:tc>
      </w:tr>
    </w:tbl>
    <w:p w14:paraId="0ED284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92594A5">
      <w:pPr>
        <w:spacing w:after="0" w:line="240" w:lineRule="auto"/>
        <w:jc w:val="center"/>
        <w:rPr>
          <w:rFonts w:ascii="Times New Roman" w:hAnsi="Times New Roman" w:eastAsia="Calibri" w:cs="Times New Roman"/>
          <w:b/>
          <w:i/>
          <w:sz w:val="24"/>
          <w:szCs w:val="24"/>
          <w:highlight w:val="yellow"/>
          <w:lang w:eastAsia="ru-RU"/>
        </w:rPr>
      </w:pPr>
    </w:p>
    <w:p w14:paraId="6EC4D45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Деятельность  учреждения ведется в строгом соответствии с законодательством РФ.   В работе ДОУ  большое внимание уделяется охране  и укреплению здоровья детей. По данным медиков ФАП дети, посещающие детский сад, относятся  к 2 группе здоровья. </w:t>
      </w:r>
    </w:p>
    <w:p w14:paraId="7EBD5D5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детском саду проводятся все необходимые мероприятия (закаливание, оздоровительные сезонные процедуры), чтобы сохранить и укрепить здоровье воспитанников. </w:t>
      </w:r>
    </w:p>
    <w:p w14:paraId="030AC94B">
      <w:pPr>
        <w:rPr>
          <w:rFonts w:ascii="Times New Roman" w:hAnsi="Times New Roman" w:eastAsia="Calibri" w:cs="Times New Roman"/>
          <w:sz w:val="24"/>
          <w:szCs w:val="24"/>
          <w:u w:val="single"/>
        </w:rPr>
      </w:pPr>
    </w:p>
    <w:p w14:paraId="6ADCD154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u w:val="single"/>
        </w:rPr>
        <w:t xml:space="preserve">ВЫВОД: 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Показатели  по заболеваемости  в  202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5</w:t>
      </w:r>
      <w:r>
        <w:rPr>
          <w:rFonts w:ascii="Times New Roman" w:hAnsi="Times New Roman" w:eastAsia="Calibri" w:cs="Times New Roman"/>
          <w:sz w:val="24"/>
          <w:szCs w:val="24"/>
        </w:rPr>
        <w:t xml:space="preserve">  году  улучшились, сократилось число </w:t>
      </w:r>
      <w:r>
        <w:rPr>
          <w:rFonts w:ascii="Times New Roman" w:hAnsi="Times New Roman" w:eastAsia="Calibri" w:cs="Times New Roman"/>
          <w:sz w:val="24"/>
          <w:szCs w:val="24"/>
          <w:lang w:val="tt-RU"/>
        </w:rPr>
        <w:t>острых инфекций верхних дыхательных путей,ангины не было,хочеться отметить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постоянно проведенная    работа  по закаливанию, так же  правильная организация  физкультурно –оздоровительных  мероприятий дает положительный результат. Нельзя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 отметить,  взаимодействие с семьями воспитанников по формированию у детей потребности здорового образа жизни стоит на первом месте. </w:t>
      </w:r>
      <w:r>
        <w:rPr>
          <w:rFonts w:ascii="Times New Roman" w:hAnsi="Times New Roman" w:eastAsia="Calibri" w:cs="Times New Roman"/>
          <w:sz w:val="24"/>
          <w:szCs w:val="24"/>
        </w:rPr>
        <w:t>Случаев травм и отравлений в отчетном периоде, как и в прошлые годы не зарегистрировано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.</w:t>
      </w:r>
    </w:p>
    <w:p w14:paraId="0A4BA3A6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22BF350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7691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2AD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II. Система управления организации</w:t>
      </w:r>
    </w:p>
    <w:p w14:paraId="052238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09C68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Управление детским садом осуществляется в соответствии с действующим законодательством и </w:t>
      </w:r>
      <w:r>
        <w:rPr>
          <w:rFonts w:eastAsiaTheme="minorEastAsia"/>
          <w:lang w:eastAsia="ru-RU"/>
        </w:rPr>
        <w:t xml:space="preserve">Уставом </w:t>
      </w:r>
      <w:r>
        <w:rPr>
          <w:rFonts w:ascii="Times New Roman" w:hAnsi="Times New Roman" w:cs="Times New Roman" w:eastAsiaTheme="minorEastAsia"/>
          <w:lang w:eastAsia="ru-RU"/>
        </w:rPr>
        <w:t>детского сада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 w:eastAsiaTheme="minorEastAsia"/>
          <w:color w:val="111111"/>
          <w:sz w:val="24"/>
          <w:szCs w:val="24"/>
          <w:shd w:val="clear" w:color="auto" w:fill="FFFFFF"/>
          <w:lang w:eastAsia="ru-RU"/>
        </w:rPr>
        <w:t xml:space="preserve">Детский сад имеет в своей </w:t>
      </w:r>
      <w:r>
        <w:rPr>
          <w:rFonts w:ascii="Times New Roman" w:hAnsi="Times New Roman" w:cs="Times New Roman" w:eastAsiaTheme="minorEastAsia"/>
          <w:sz w:val="24"/>
          <w:szCs w:val="24"/>
          <w:shd w:val="clear" w:color="auto" w:fill="FFFFFF"/>
          <w:lang w:eastAsia="ru-RU"/>
        </w:rPr>
        <w:t>структуре</w:t>
      </w:r>
      <w:r>
        <w:rPr>
          <w:rFonts w:ascii="Times New Roman" w:hAnsi="Times New Roman" w:cs="Times New Roman" w:eastAsiaTheme="minorEastAsia"/>
          <w:color w:val="111111"/>
          <w:sz w:val="24"/>
          <w:szCs w:val="24"/>
          <w:shd w:val="clear" w:color="auto" w:fill="FFFFFF"/>
          <w:lang w:eastAsia="ru-RU"/>
        </w:rPr>
        <w:t xml:space="preserve"> различные структурные подразделения, обеспечивающие осуществление воспитательно-образовательной деятельности.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детском саду утверждены </w:t>
      </w:r>
      <w:r>
        <w:rPr>
          <w:rFonts w:ascii="Times New Roman" w:hAnsi="Times New Roman" w:cs="Times New Roman" w:eastAsiaTheme="minorEastAsia"/>
          <w:lang w:eastAsia="ru-RU"/>
        </w:rPr>
        <w:t>положения об органах управления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Управление детским садом строится на принципах единоначалия и коллегиальности. </w:t>
      </w:r>
    </w:p>
    <w:p w14:paraId="41D630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6D932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Коллегиальными органами управления являются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594F4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5A9EDB31">
            <w:pPr>
              <w:spacing w:after="0" w:line="240" w:lineRule="auto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Название органа управления</w:t>
            </w:r>
          </w:p>
        </w:tc>
        <w:tc>
          <w:tcPr>
            <w:tcW w:w="3190" w:type="dxa"/>
          </w:tcPr>
          <w:p w14:paraId="6F9752CB">
            <w:pPr>
              <w:spacing w:after="0" w:line="240" w:lineRule="auto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191" w:type="dxa"/>
          </w:tcPr>
          <w:p w14:paraId="0627A8E3">
            <w:pPr>
              <w:spacing w:after="0" w:line="240" w:lineRule="auto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14:paraId="0D3F4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793BF07B"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Педагогический совет ДОУ</w:t>
            </w:r>
          </w:p>
        </w:tc>
        <w:tc>
          <w:tcPr>
            <w:tcW w:w="3190" w:type="dxa"/>
          </w:tcPr>
          <w:p w14:paraId="0E274AF2"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Председатель Малышева Л.А.</w:t>
            </w:r>
          </w:p>
        </w:tc>
        <w:tc>
          <w:tcPr>
            <w:tcW w:w="3191" w:type="dxa"/>
          </w:tcPr>
          <w:p w14:paraId="50D71397"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14:paraId="430CB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36688F52"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Родительский комитет ДОУ</w:t>
            </w:r>
          </w:p>
        </w:tc>
        <w:tc>
          <w:tcPr>
            <w:tcW w:w="3190" w:type="dxa"/>
          </w:tcPr>
          <w:p w14:paraId="4802B744"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Председатель Галеева Г.М.</w:t>
            </w:r>
          </w:p>
        </w:tc>
        <w:tc>
          <w:tcPr>
            <w:tcW w:w="3191" w:type="dxa"/>
          </w:tcPr>
          <w:p w14:paraId="419C1467"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Родитель</w:t>
            </w:r>
          </w:p>
        </w:tc>
      </w:tr>
      <w:tr w14:paraId="014FA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4480DDC8"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190" w:type="dxa"/>
          </w:tcPr>
          <w:p w14:paraId="08D983E8"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Председатель Малышева Л.А.</w:t>
            </w:r>
          </w:p>
        </w:tc>
        <w:tc>
          <w:tcPr>
            <w:tcW w:w="3191" w:type="dxa"/>
          </w:tcPr>
          <w:p w14:paraId="07B57449"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Заведующий</w:t>
            </w:r>
          </w:p>
        </w:tc>
      </w:tr>
    </w:tbl>
    <w:p w14:paraId="03BCE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BA5F17D">
      <w:pPr>
        <w:pStyle w:val="10"/>
        <w:spacing w:before="0" w:beforeAutospacing="0" w:after="0" w:afterAutospacing="0"/>
        <w:jc w:val="both"/>
        <w:rPr>
          <w:color w:val="000000" w:themeColor="text1"/>
        </w:rPr>
      </w:pPr>
      <w:r>
        <w:rPr>
          <w:b/>
        </w:rPr>
        <w:t>Вывод:</w:t>
      </w:r>
      <w:r>
        <w:t xml:space="preserve">  В детском саду существует достаточно эффективная, профессиональная, компетентная  система  административного  и оперативного  управления  коллективом. 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</w:t>
      </w:r>
    </w:p>
    <w:p w14:paraId="2B399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10E4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A9E4B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III. Оценка образовательной деятельности</w:t>
      </w:r>
    </w:p>
    <w:p w14:paraId="40D17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1B99014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детском саду организована в соответствии с </w:t>
      </w:r>
      <w:r>
        <w:fldChar w:fldCharType="begin"/>
      </w:r>
      <w:r>
        <w:instrText xml:space="preserve"> HYPERLINK "https://vip.1obraz.ru/" \l "/document/99/902389617/"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Федеральным законом от 29.12.2012 № 273-ФЗ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Федерации», </w:t>
      </w:r>
      <w:r>
        <w:fldChar w:fldCharType="begin"/>
      </w:r>
      <w:r>
        <w:instrText xml:space="preserve"> HYPERLINK "https://vip.1obraz.ru/" \l "/document/99/499057887/"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ФОП дошкольного образования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fldChar w:fldCharType="begin"/>
      </w:r>
      <w:r>
        <w:instrText xml:space="preserve"> HYPERLINK "https://vip.1obraz.ru/" \l "/document/99/566276706/"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СанПиН 2.3/2.4.3590-20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</w:rPr>
        <w:t>В 202</w:t>
      </w:r>
      <w:r>
        <w:rPr>
          <w:rFonts w:hint="default" w:ascii="Times New Roman" w:hAnsi="Times New Roman" w:cs="Times New Roman" w:eastAsiaTheme="minorEastAsia"/>
          <w:color w:val="000000" w:themeColor="text1"/>
          <w:kern w:val="24"/>
          <w:sz w:val="24"/>
          <w:szCs w:val="24"/>
          <w:lang w:val="ru-RU"/>
        </w:rPr>
        <w:t>5</w:t>
      </w: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</w:rPr>
        <w:t xml:space="preserve"> году содержание образовательной деятельности в ДОУ определялось образовательной программой детского сада, разработанной в соответствии с ФОП ДО с учетом примерной основной образовательной программы дошкольного образования «От рождения до школы».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Образовательная деятельность ведется на основании утвержденной </w:t>
      </w:r>
      <w:r>
        <w:fldChar w:fldCharType="begin"/>
      </w:r>
      <w:r>
        <w:instrText xml:space="preserve"> HYPERLINK "https://edu.tatar.ru/chistopol/dou14_podsolnushek/page1189581.htm"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>Основной образовательной программы дошкольного образования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которая составлена в соответствии с </w:t>
      </w:r>
      <w:r>
        <w:fldChar w:fldCharType="begin"/>
      </w:r>
      <w:r>
        <w:instrText xml:space="preserve"> HYPERLINK "https://vip.1obraz.ru/" \l "/document/99/499057887/"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>ФОП дошкольного образования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 учетом </w:t>
      </w:r>
      <w:r>
        <w:fldChar w:fldCharType="begin"/>
      </w:r>
      <w:r>
        <w:instrText xml:space="preserve"> HYPERLINK "http://www.firo.ru/wp-content/uploads/2014/02/Ot-rojdenia-do-shkoli.pdf"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>Примерной образовательной программы дошкольного образования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>, санитарно-эпидемиологическими правилами и нормативами, с учетом недельной нагрузки. С начала учебного года Образовательная деятельность ведется на основании утвержденной Основной образовательной  программы, которая составлена  в соответствии с ФОП.</w:t>
      </w:r>
    </w:p>
    <w:p w14:paraId="466A32CB"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Ежегодно проводится педагогический мониторинг с целью определения степени освоения ребёнком образовательной программы и влияния образовательного процесса на развитие ребёнка в нескольких направлениях:</w:t>
      </w:r>
    </w:p>
    <w:p w14:paraId="5B977E5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-определение уровня педагогических воздействий, </w:t>
      </w:r>
    </w:p>
    <w:p w14:paraId="7335E5C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-уровня готовности дошкольников подготовительной группы к обучению в школе, </w:t>
      </w:r>
    </w:p>
    <w:p w14:paraId="7342B922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-уровень владения навыками татарской  речи.</w:t>
      </w:r>
    </w:p>
    <w:p w14:paraId="08316FFA">
      <w:pPr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Мониторинг оценки эффективности педагогических воздействий и индивидуального развития детей был проведен во всех группах, в нем приняли участие все дети посещающие детский сад. В соответствии с методическими рекомендациями по проведению мониторинга велось оценивание индивидуального развития детей по 5 образовательным областям. </w:t>
      </w:r>
    </w:p>
    <w:p w14:paraId="16A3FCB8">
      <w:pPr>
        <w:pStyle w:val="10"/>
        <w:spacing w:before="0" w:beforeAutospacing="0" w:after="0" w:afterAutospacing="0"/>
        <w:rPr>
          <w:color w:val="000000" w:themeColor="text1"/>
        </w:rPr>
      </w:pPr>
      <w:r>
        <w:rPr>
          <w:rFonts w:eastAsiaTheme="minorEastAsia"/>
          <w:color w:val="000000" w:themeColor="text1"/>
          <w:kern w:val="24"/>
        </w:rPr>
        <w:t>При этом продолжали действовать антикоронавирусные ограничения. Для недопущения  распространения коронавирусной инфекции, администрация детского сада реализовывала в 202</w:t>
      </w:r>
      <w:r>
        <w:rPr>
          <w:rFonts w:hint="default" w:eastAsiaTheme="minorEastAsia"/>
          <w:color w:val="000000" w:themeColor="text1"/>
          <w:kern w:val="24"/>
          <w:lang w:val="ru-RU"/>
        </w:rPr>
        <w:t>5</w:t>
      </w:r>
      <w:r>
        <w:rPr>
          <w:rFonts w:eastAsiaTheme="minorEastAsia"/>
          <w:color w:val="000000" w:themeColor="text1"/>
          <w:kern w:val="24"/>
        </w:rPr>
        <w:t xml:space="preserve"> году дополнительные ограничительные и профилактические меры в соответствии с СП 3.1/2.4.3598-20:</w:t>
      </w:r>
    </w:p>
    <w:p w14:paraId="0C386256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  <w:lang w:eastAsia="ru-RU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о заболевших территориальный орган Роспотребнадзора;</w:t>
      </w:r>
    </w:p>
    <w:p w14:paraId="63646772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  <w:lang w:eastAsia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14:paraId="4B11EB3F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  <w:lang w:eastAsia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14:paraId="7B8AD4F8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  <w:lang w:eastAsia="ru-RU"/>
        </w:rPr>
        <w:t>дезинфекцию посуды, столовых приборов после каждого использования;</w:t>
      </w:r>
    </w:p>
    <w:p w14:paraId="7DAEAC14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  <w:lang w:eastAsia="ru-RU"/>
        </w:rPr>
        <w:t>бактерицидные установки в групповых комнатах;</w:t>
      </w:r>
    </w:p>
    <w:p w14:paraId="51D611B5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  <w:lang w:eastAsia="ru-RU"/>
        </w:rPr>
        <w:t>частое проветривание групповых комнат в отсутствие воспитанников;</w:t>
      </w:r>
    </w:p>
    <w:p w14:paraId="1FEB4296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  <w:lang w:eastAsia="ru-RU"/>
        </w:rPr>
        <w:t>проведение всех занятий в помещениях групповой ячейки или на открытом воздухе отдельно от других групп;</w:t>
      </w:r>
    </w:p>
    <w:p w14:paraId="2FBD7083">
      <w:pPr>
        <w:numPr>
          <w:ilvl w:val="0"/>
          <w:numId w:val="2"/>
        </w:numPr>
        <w:spacing w:after="0" w:line="240" w:lineRule="auto"/>
        <w:ind w:left="1166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  <w:lang w:eastAsia="ru-RU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больным.</w:t>
      </w:r>
    </w:p>
    <w:p w14:paraId="6ABC59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Детский сад посещают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15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31 декабря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г.  воспитанников в возрасте от 2 до 7 лет. В детском саду сформировано 2 группы общеразвивающей направленности. Из них:</w:t>
      </w:r>
    </w:p>
    <w:p w14:paraId="715394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Младше – средняя  –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9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воспитанника</w:t>
      </w:r>
    </w:p>
    <w:p w14:paraId="2D806E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Старше – подготовительная  -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воспитанников</w:t>
      </w:r>
    </w:p>
    <w:p w14:paraId="0EFEF9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30A45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Уровень развития детей анализируется по итогам педагогической диагностики </w:t>
      </w:r>
      <w:r>
        <w:fldChar w:fldCharType="begin"/>
      </w:r>
      <w:r>
        <w:instrText xml:space="preserve"> HYPERLINK "https://edu.tatar.ru/chistopol/dou14_podsolnushek/page1533346.htm" </w:instrText>
      </w:r>
      <w:r>
        <w:fldChar w:fldCharType="separate"/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«Оценка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эффективности педагогических воздействий  и индивидуального развития детей по образовательным областям»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</w:p>
    <w:p w14:paraId="5224AF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Педагогическая диагностика проводится с использованием наблюдений и итоговых занятий;</w:t>
      </w:r>
    </w:p>
    <w:p w14:paraId="5C6E04E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Полученные результаты оцениваются по критериям оценки показателей эффективности педагогических воздействий и индивидуального развития;</w:t>
      </w:r>
    </w:p>
    <w:p w14:paraId="155B200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Заполняются: индивидуальная карта развития ребенка, индивидуальный профиль  эффективности педагогических воздействий и индивидуального развития ребенка; сводные протоколы по каждой образовательной области, по группе; сводный протокол эффективности педагогических воздействий и индивидуального развития по детскому саду.</w:t>
      </w:r>
    </w:p>
    <w:p w14:paraId="47D4BE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Так, результаты качества</w:t>
      </w:r>
      <w:r>
        <w:rPr>
          <w:rFonts w:ascii="Times New Roman" w:hAnsi="Times New Roman" w:eastAsiaTheme="minorEastAsia"/>
          <w:sz w:val="24"/>
          <w:szCs w:val="24"/>
          <w:lang w:eastAsia="ru-RU"/>
        </w:rPr>
        <w:t xml:space="preserve"> оценки эффективности педагогических воздействий  и индивидуального развития детей по образовательным областям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сравнении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выглядят следующим образом:</w:t>
      </w:r>
    </w:p>
    <w:p w14:paraId="2BB244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2E139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E8BC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E57A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2564824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eastAsia="ru-RU"/>
        </w:rPr>
        <w:t>ИТОГОВЫЕ    РЕЗУЛЬТАТЫ</w:t>
      </w:r>
    </w:p>
    <w:p w14:paraId="203D7F47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u w:val="single"/>
          <w:lang w:eastAsia="ru-RU"/>
        </w:rPr>
        <w:t xml:space="preserve">оценки эффективности педагогических воздействий </w:t>
      </w:r>
    </w:p>
    <w:p w14:paraId="0E847B22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u w:val="single"/>
          <w:lang w:eastAsia="ru-RU"/>
        </w:rPr>
        <w:t>и индивидуального развития детей</w:t>
      </w:r>
    </w:p>
    <w:p w14:paraId="4FEF8F9D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u w:val="single"/>
          <w:lang w:eastAsia="ru-RU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2393"/>
        <w:gridCol w:w="2393"/>
      </w:tblGrid>
      <w:tr w14:paraId="3D47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Merge w:val="restart"/>
          </w:tcPr>
          <w:p w14:paraId="685C0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Образовательная область/</w:t>
            </w:r>
          </w:p>
          <w:p w14:paraId="037096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Итоговое значение</w:t>
            </w:r>
          </w:p>
        </w:tc>
        <w:tc>
          <w:tcPr>
            <w:tcW w:w="4786" w:type="dxa"/>
            <w:gridSpan w:val="2"/>
          </w:tcPr>
          <w:p w14:paraId="0ACFA8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Итого среднее значение</w:t>
            </w:r>
          </w:p>
          <w:p w14:paraId="05AB7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 образовательной области в %</w:t>
            </w:r>
          </w:p>
        </w:tc>
      </w:tr>
      <w:tr w14:paraId="12451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Merge w:val="continue"/>
          </w:tcPr>
          <w:p w14:paraId="22704697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14:paraId="437D7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октябрь 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93" w:type="dxa"/>
          </w:tcPr>
          <w:p w14:paraId="44448B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апрель 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14:paraId="6040D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5C8F29A7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393" w:type="dxa"/>
          </w:tcPr>
          <w:p w14:paraId="7241E6F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</w:tcPr>
          <w:p w14:paraId="29E34C8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8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1,2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</w:tr>
      <w:tr w14:paraId="5C976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98CB4C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393" w:type="dxa"/>
          </w:tcPr>
          <w:p w14:paraId="4CB81C8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</w:tcPr>
          <w:p w14:paraId="55CA4213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81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</w:tr>
      <w:tr w14:paraId="23960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2598B7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393" w:type="dxa"/>
          </w:tcPr>
          <w:p w14:paraId="5097685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</w:tcPr>
          <w:p w14:paraId="4688B86A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8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</w:tr>
      <w:tr w14:paraId="396F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5E4B967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393" w:type="dxa"/>
          </w:tcPr>
          <w:p w14:paraId="501EAB6F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</w:tcPr>
          <w:p w14:paraId="7AD43D04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83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</w:tr>
      <w:tr w14:paraId="7FE9B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49F464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393" w:type="dxa"/>
          </w:tcPr>
          <w:p w14:paraId="2261680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80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</w:tcPr>
          <w:p w14:paraId="462BB09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8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</w:tr>
      <w:tr w14:paraId="185BA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4BCB64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Итоговое значение по всем образовательным областям</w:t>
            </w:r>
          </w:p>
        </w:tc>
        <w:tc>
          <w:tcPr>
            <w:tcW w:w="2393" w:type="dxa"/>
          </w:tcPr>
          <w:p w14:paraId="56257344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</w:tcPr>
          <w:p w14:paraId="2731A54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8</w:t>
            </w: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,7%</w:t>
            </w:r>
          </w:p>
        </w:tc>
      </w:tr>
    </w:tbl>
    <w:p w14:paraId="405C4B5C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color w:val="C00000"/>
          <w:sz w:val="24"/>
          <w:szCs w:val="24"/>
          <w:u w:val="single"/>
          <w:lang w:eastAsia="ru-RU"/>
        </w:rPr>
      </w:pPr>
    </w:p>
    <w:p w14:paraId="31B619E1">
      <w:pPr>
        <w:autoSpaceDE w:val="0"/>
        <w:autoSpaceDN w:val="0"/>
        <w:adjustRightInd w:val="0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eastAsiaTheme="minorEastAsia"/>
          <w:b/>
          <w:sz w:val="24"/>
          <w:szCs w:val="24"/>
          <w:lang w:eastAsia="ru-RU"/>
        </w:rPr>
        <w:t xml:space="preserve">  Вывод:  </w:t>
      </w:r>
      <w:r>
        <w:rPr>
          <w:rFonts w:ascii="Times New Roman" w:hAnsi="Times New Roman" w:eastAsiaTheme="minorEastAsia"/>
          <w:sz w:val="24"/>
          <w:szCs w:val="24"/>
          <w:lang w:eastAsia="ru-RU"/>
        </w:rPr>
        <w:t xml:space="preserve">Итоговое   значение оценки эффективности педагогических воздействий по всем образовательным областям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октябрь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года (начало учебного года) </w:t>
      </w:r>
      <w:r>
        <w:rPr>
          <w:rFonts w:ascii="Times New Roman" w:hAnsi="Times New Roman" w:eastAsiaTheme="minorEastAsia"/>
          <w:sz w:val="24"/>
          <w:szCs w:val="24"/>
          <w:lang w:eastAsia="ru-RU"/>
        </w:rPr>
        <w:t xml:space="preserve">указывает на </w:t>
      </w:r>
      <w:r>
        <w:rPr>
          <w:rFonts w:ascii="Times New Roman" w:hAnsi="Times New Roman" w:eastAsiaTheme="minorEastAsia"/>
          <w:b/>
          <w:sz w:val="24"/>
          <w:szCs w:val="24"/>
          <w:lang w:eastAsia="ru-RU"/>
        </w:rPr>
        <w:t xml:space="preserve">средний/высокий уровень </w:t>
      </w:r>
      <w:r>
        <w:rPr>
          <w:rFonts w:ascii="Times New Roman" w:hAnsi="Times New Roman" w:eastAsiaTheme="minorEastAsia"/>
          <w:sz w:val="24"/>
          <w:szCs w:val="24"/>
          <w:lang w:eastAsia="ru-RU"/>
        </w:rPr>
        <w:t xml:space="preserve">эффективности педагогических воздействий  и индивидуального развития детей, а итоговое значение  на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апрель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(конец учебного года)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указывает на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высокий </w:t>
      </w:r>
      <w:r>
        <w:rPr>
          <w:rFonts w:ascii="Times New Roman" w:hAnsi="Times New Roman" w:eastAsiaTheme="minorEastAsia"/>
          <w:b/>
          <w:sz w:val="24"/>
          <w:szCs w:val="24"/>
          <w:lang w:eastAsia="ru-RU"/>
        </w:rPr>
        <w:t xml:space="preserve">уровень </w:t>
      </w:r>
      <w:r>
        <w:rPr>
          <w:rFonts w:ascii="Times New Roman" w:hAnsi="Times New Roman" w:eastAsiaTheme="minorEastAsia"/>
          <w:sz w:val="24"/>
          <w:szCs w:val="24"/>
          <w:lang w:eastAsia="ru-RU"/>
        </w:rPr>
        <w:t xml:space="preserve">эффективности педагогических воздействий  и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индивидуального развития детей. Таким образом, прослеживается положительная динамика в индивидуальном развитии воспитанников. Но в то же  время, отмечаются недостаточно высокие показатели в образовательных областях: познавательное развитие художественно – эстетическое развитие.  Принимая во внимание результаты итогового мониторинга (на конец учебного года)   одной из приоритетных запланированных и реализуемых задач ДОУ, на новый учебный год,  является повышение методической компетентность педагогов в познавательном развитии воспитанников, тем самым повышение качества образования воспитанников.</w:t>
      </w:r>
    </w:p>
    <w:p w14:paraId="303A17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--Результаты качества</w:t>
      </w:r>
      <w:r>
        <w:rPr>
          <w:rFonts w:ascii="Times New Roman" w:hAnsi="Times New Roman" w:eastAsiaTheme="minorEastAsia"/>
          <w:sz w:val="24"/>
          <w:szCs w:val="24"/>
          <w:lang w:eastAsia="ru-RU"/>
        </w:rPr>
        <w:t xml:space="preserve"> оценки эффективности педагогических воздействий  и индивидуального развития детей по образовательным областям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выглядят следующим образом:</w:t>
      </w:r>
    </w:p>
    <w:p w14:paraId="69C4CC31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u w:val="single"/>
          <w:lang w:eastAsia="ru-RU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5FC92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Merge w:val="restart"/>
          </w:tcPr>
          <w:p w14:paraId="010497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Образовательная область/</w:t>
            </w:r>
          </w:p>
          <w:p w14:paraId="50D3AC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Итоговое значение</w:t>
            </w:r>
          </w:p>
        </w:tc>
        <w:tc>
          <w:tcPr>
            <w:tcW w:w="4786" w:type="dxa"/>
          </w:tcPr>
          <w:p w14:paraId="7ECB5C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Итого среднее значение</w:t>
            </w:r>
          </w:p>
          <w:p w14:paraId="1C919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 образовательной области в %</w:t>
            </w:r>
          </w:p>
        </w:tc>
      </w:tr>
      <w:tr w14:paraId="1A07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Merge w:val="continue"/>
          </w:tcPr>
          <w:p w14:paraId="1B82660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3639C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октябрь 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</w:tr>
      <w:tr w14:paraId="6980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1E0669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4786" w:type="dxa"/>
          </w:tcPr>
          <w:p w14:paraId="23972731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</w:tr>
      <w:tr w14:paraId="013FB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1060029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786" w:type="dxa"/>
          </w:tcPr>
          <w:p w14:paraId="7A9C0395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</w:tr>
      <w:tr w14:paraId="26707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DEF61B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786" w:type="dxa"/>
          </w:tcPr>
          <w:p w14:paraId="51762FBF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</w:tr>
      <w:tr w14:paraId="626A8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C77696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4786" w:type="dxa"/>
          </w:tcPr>
          <w:p w14:paraId="1A1F3695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,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</w:tr>
      <w:tr w14:paraId="2BBE5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4F42934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786" w:type="dxa"/>
          </w:tcPr>
          <w:p w14:paraId="27E94D2C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8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</w:tr>
      <w:tr w14:paraId="546C9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8FB7DC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Итоговое значение по всем образовательным областям</w:t>
            </w:r>
          </w:p>
        </w:tc>
        <w:tc>
          <w:tcPr>
            <w:tcW w:w="4786" w:type="dxa"/>
          </w:tcPr>
          <w:p w14:paraId="06E0F991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14:paraId="019CDD2C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u w:val="single"/>
          <w:lang w:eastAsia="ru-RU"/>
        </w:rPr>
      </w:pPr>
    </w:p>
    <w:p w14:paraId="2A8307B5">
      <w:pPr>
        <w:spacing w:after="0" w:line="240" w:lineRule="auto"/>
        <w:jc w:val="both"/>
        <w:rPr>
          <w:rFonts w:ascii="Calibri" w:hAnsi="Calibri" w:eastAsiaTheme="minorEastAsia"/>
          <w:color w:val="000000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 xml:space="preserve">      Вывод: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Итоги мониторинг указывают на средний/высокий уровень   эффективности педагогических воздействий по детскому саду. 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целом программный материал усвоен детьми во всех возрастных группах на допустимом и оптимальном уровне. Педагоги  ведут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eastAsia="ru-RU"/>
        </w:rPr>
        <w:t xml:space="preserve"> целенаправленную работу по повышению качества освоения программного материала по образовательным областям «Познавательное развитие», «Физическое развитие», «Социально – коммуникативное развитие», «Речевое развитие», «Художественно-эстетическое развитие». При планировании воспитательно-образовательной работы учитываются результаты мониторинга, для улучшения освоения программы осуществляется дифференцированный подход к воспитанникам.</w:t>
      </w:r>
    </w:p>
    <w:p w14:paraId="51780BD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F30A7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целью изучения стартового уровня развития будущих первоклассников, проводится </w:t>
      </w:r>
      <w:r>
        <w:fldChar w:fldCharType="begin"/>
      </w:r>
      <w:r>
        <w:instrText xml:space="preserve"> HYPERLINK "https://edu.tatar.ru/chistopol/dou14_podsolnushek/page1533346.htm"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Фронтальная диагностика готовности к школьному обучению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Диагностический материал позволяет оценить уровень сформированности у выпускников предпосылок к учебной деятельности (возможность работать в соответствии с фронтальной инструкцией, умение самостоятельно действовать по образцу и осуществлять контроль, возможность распределения и переключения внимания и т.д.)</w:t>
      </w:r>
    </w:p>
    <w:p w14:paraId="5AED9B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A3AB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Результаты уровня готовности к школе выглядят следующим образом:</w:t>
      </w:r>
    </w:p>
    <w:p w14:paraId="7AF93AEF">
      <w:pPr>
        <w:spacing w:after="0"/>
        <w:rPr>
          <w:rFonts w:ascii="Times New Roman" w:hAnsi="Times New Roman" w:eastAsiaTheme="minorEastAsia"/>
          <w:b/>
          <w:sz w:val="24"/>
          <w:szCs w:val="24"/>
          <w:lang w:eastAsia="ru-RU"/>
        </w:rPr>
      </w:pPr>
    </w:p>
    <w:p w14:paraId="68B246D2">
      <w:pPr>
        <w:spacing w:after="0"/>
        <w:jc w:val="center"/>
        <w:rPr>
          <w:rFonts w:ascii="Times New Roman" w:hAnsi="Times New Roman" w:eastAsiaTheme="minorEastAsia"/>
          <w:b/>
          <w:sz w:val="24"/>
          <w:szCs w:val="24"/>
          <w:lang w:eastAsia="ru-RU"/>
        </w:rPr>
      </w:pPr>
    </w:p>
    <w:p w14:paraId="3B727D25">
      <w:pPr>
        <w:spacing w:after="0"/>
        <w:ind w:left="12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 по результатам</w:t>
      </w:r>
    </w:p>
    <w:p w14:paraId="043DE408">
      <w:pPr>
        <w:spacing w:after="0"/>
        <w:jc w:val="center"/>
        <w:rPr>
          <w:rFonts w:ascii="Times New Roman" w:hAnsi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eastAsiaTheme="minorEastAsia"/>
          <w:b/>
          <w:sz w:val="24"/>
          <w:szCs w:val="24"/>
          <w:lang w:eastAsia="ru-RU"/>
        </w:rPr>
        <w:t>«Фронтальной диагностики готовности к школьному обучению»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2393"/>
        <w:gridCol w:w="2393"/>
      </w:tblGrid>
      <w:tr w14:paraId="035F7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Merge w:val="restart"/>
          </w:tcPr>
          <w:p w14:paraId="49920801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Заключение о готовности/неготовности</w:t>
            </w:r>
          </w:p>
          <w:p w14:paraId="6B7D0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детей к обучение в школе</w:t>
            </w:r>
          </w:p>
        </w:tc>
        <w:tc>
          <w:tcPr>
            <w:tcW w:w="4786" w:type="dxa"/>
            <w:gridSpan w:val="2"/>
          </w:tcPr>
          <w:p w14:paraId="39B3DE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Итого среднее значение</w:t>
            </w:r>
          </w:p>
          <w:p w14:paraId="3E9096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 образовательной области в %</w:t>
            </w:r>
          </w:p>
        </w:tc>
      </w:tr>
      <w:tr w14:paraId="6472C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Merge w:val="continue"/>
          </w:tcPr>
          <w:p w14:paraId="6184422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14:paraId="32700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октябрь 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93" w:type="dxa"/>
          </w:tcPr>
          <w:p w14:paraId="6D694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апрель 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</w:tr>
      <w:tr w14:paraId="2561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CD1170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Готов</w:t>
            </w:r>
          </w:p>
        </w:tc>
        <w:tc>
          <w:tcPr>
            <w:tcW w:w="2393" w:type="dxa"/>
          </w:tcPr>
          <w:p w14:paraId="235AC8BD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3" w:type="dxa"/>
          </w:tcPr>
          <w:p w14:paraId="6344C8FB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100%</w:t>
            </w:r>
          </w:p>
        </w:tc>
      </w:tr>
      <w:tr w14:paraId="0B25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98B8E7B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Частично готов</w:t>
            </w:r>
          </w:p>
        </w:tc>
        <w:tc>
          <w:tcPr>
            <w:tcW w:w="2393" w:type="dxa"/>
          </w:tcPr>
          <w:p w14:paraId="2B86A2C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393" w:type="dxa"/>
          </w:tcPr>
          <w:p w14:paraId="53ACB587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0%</w:t>
            </w:r>
          </w:p>
        </w:tc>
      </w:tr>
      <w:tr w14:paraId="578A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553F46B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Не готов</w:t>
            </w:r>
          </w:p>
        </w:tc>
        <w:tc>
          <w:tcPr>
            <w:tcW w:w="2393" w:type="dxa"/>
          </w:tcPr>
          <w:p w14:paraId="5BE82507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393" w:type="dxa"/>
          </w:tcPr>
          <w:p w14:paraId="1750DDBD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0%</w:t>
            </w:r>
          </w:p>
        </w:tc>
      </w:tr>
    </w:tbl>
    <w:p w14:paraId="04D91F77">
      <w:pPr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E06412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Вывод: Таким образом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по результатам  диагностики 100% воспитанников готовы к школьному обучению. </w:t>
      </w:r>
    </w:p>
    <w:p w14:paraId="166F3C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A215D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Результаты уровня готовности к школе выглядят следующим образом:</w:t>
      </w:r>
    </w:p>
    <w:p w14:paraId="12F61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51C6EA3">
      <w:pPr>
        <w:spacing w:after="0"/>
        <w:jc w:val="center"/>
        <w:rPr>
          <w:rFonts w:ascii="Times New Roman" w:hAnsi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eastAsiaTheme="minorEastAsia"/>
          <w:b/>
          <w:sz w:val="24"/>
          <w:szCs w:val="24"/>
          <w:lang w:eastAsia="ru-RU"/>
        </w:rPr>
        <w:t>Заключение по результатам</w:t>
      </w:r>
    </w:p>
    <w:p w14:paraId="4B43D4FB">
      <w:pPr>
        <w:spacing w:after="0"/>
        <w:jc w:val="center"/>
        <w:rPr>
          <w:rFonts w:ascii="Times New Roman" w:hAnsi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eastAsiaTheme="minorEastAsia"/>
          <w:b/>
          <w:sz w:val="24"/>
          <w:szCs w:val="24"/>
          <w:lang w:eastAsia="ru-RU"/>
        </w:rPr>
        <w:t>«Фронтальной диагностики готовности к школьному обучению»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6763"/>
      </w:tblGrid>
      <w:tr w14:paraId="26859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vMerge w:val="restart"/>
          </w:tcPr>
          <w:p w14:paraId="605FC0C0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Заключение о готовности/неготовности</w:t>
            </w:r>
          </w:p>
          <w:p w14:paraId="47A09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детей к обучение в школе</w:t>
            </w:r>
          </w:p>
        </w:tc>
        <w:tc>
          <w:tcPr>
            <w:tcW w:w="6763" w:type="dxa"/>
          </w:tcPr>
          <w:p w14:paraId="642015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Итого среднее значение</w:t>
            </w:r>
          </w:p>
          <w:p w14:paraId="6C2F31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 образовательной области в %</w:t>
            </w:r>
          </w:p>
        </w:tc>
      </w:tr>
      <w:tr w14:paraId="70D8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vMerge w:val="continue"/>
          </w:tcPr>
          <w:p w14:paraId="6DE5320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6763" w:type="dxa"/>
          </w:tcPr>
          <w:p w14:paraId="196619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октябрь 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</w:tr>
      <w:tr w14:paraId="5B230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</w:tcPr>
          <w:p w14:paraId="5A3129D9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Готов</w:t>
            </w:r>
          </w:p>
        </w:tc>
        <w:tc>
          <w:tcPr>
            <w:tcW w:w="6763" w:type="dxa"/>
          </w:tcPr>
          <w:p w14:paraId="4408B289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100%</w:t>
            </w:r>
          </w:p>
        </w:tc>
      </w:tr>
      <w:tr w14:paraId="03FF3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</w:tcPr>
          <w:p w14:paraId="3031D51E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Частично готов</w:t>
            </w:r>
          </w:p>
        </w:tc>
        <w:tc>
          <w:tcPr>
            <w:tcW w:w="6763" w:type="dxa"/>
          </w:tcPr>
          <w:p w14:paraId="04AA5C4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0%</w:t>
            </w:r>
          </w:p>
        </w:tc>
      </w:tr>
      <w:tr w14:paraId="19529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</w:tcPr>
          <w:p w14:paraId="5177C56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Не готов</w:t>
            </w:r>
          </w:p>
        </w:tc>
        <w:tc>
          <w:tcPr>
            <w:tcW w:w="6763" w:type="dxa"/>
          </w:tcPr>
          <w:p w14:paraId="68A1B19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>0%</w:t>
            </w:r>
          </w:p>
        </w:tc>
      </w:tr>
    </w:tbl>
    <w:p w14:paraId="10346D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02E08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Вывод: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результатам  диагностики на начало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учебного года,   все дети готовы к школьному обучению. На начало текущего учебного года готовы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воспитанник. Таким, образом, организуются индивидуальные дополнительные занятия с воспитанниками по развитию познавательных процессов, повышению уровня саморегуляции и организации деятельности. </w:t>
      </w:r>
    </w:p>
    <w:p w14:paraId="74B85C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DBFC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целью оценки знаний татарского языка с воспитанниками средней, старшей подготовительной к школе групп проводится </w:t>
      </w:r>
      <w:r>
        <w:fldChar w:fldCharType="begin"/>
      </w:r>
      <w:r>
        <w:instrText xml:space="preserve"> HYPERLINK "https://edu.tatar.ru/chistopol/dou14_podsolnushek/page1533346.htm"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диагностика знаний татарского языка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</w:p>
    <w:p w14:paraId="40E446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EEB2B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Результаты уровня знаний татарского языка на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октябрь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года и на апрель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в сравнении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выглядят следующим образом:</w:t>
      </w:r>
    </w:p>
    <w:p w14:paraId="5E97CA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E5EA069">
      <w:pPr>
        <w:spacing w:after="0" w:line="240" w:lineRule="auto"/>
        <w:jc w:val="center"/>
        <w:rPr>
          <w:rFonts w:ascii="Times New Roman" w:hAnsi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eastAsiaTheme="minorEastAsia"/>
          <w:b/>
          <w:sz w:val="24"/>
          <w:szCs w:val="24"/>
          <w:lang w:eastAsia="ru-RU"/>
        </w:rPr>
        <w:t xml:space="preserve">Сводная таблица  результатов оценки усвоения детьми </w:t>
      </w:r>
    </w:p>
    <w:p w14:paraId="31507A3C">
      <w:pPr>
        <w:spacing w:after="0" w:line="240" w:lineRule="auto"/>
        <w:jc w:val="center"/>
        <w:rPr>
          <w:rFonts w:ascii="Times New Roman" w:hAnsi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eastAsiaTheme="minorEastAsia"/>
          <w:b/>
          <w:sz w:val="24"/>
          <w:szCs w:val="24"/>
          <w:lang w:eastAsia="ru-RU"/>
        </w:rPr>
        <w:t>программного материала  по татарскому  языку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2393"/>
        <w:gridCol w:w="2393"/>
      </w:tblGrid>
      <w:tr w14:paraId="69B9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Merge w:val="restart"/>
          </w:tcPr>
          <w:p w14:paraId="01F619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Уровень знаний/</w:t>
            </w:r>
          </w:p>
          <w:p w14:paraId="13AA9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Итоговое значение</w:t>
            </w:r>
          </w:p>
          <w:p w14:paraId="548B6E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gridSpan w:val="2"/>
          </w:tcPr>
          <w:p w14:paraId="6F5FF0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Итого среднее значение</w:t>
            </w:r>
          </w:p>
          <w:p w14:paraId="5127F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в %</w:t>
            </w:r>
          </w:p>
        </w:tc>
      </w:tr>
      <w:tr w14:paraId="6E62B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Merge w:val="continue"/>
          </w:tcPr>
          <w:p w14:paraId="35C431C5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14:paraId="6DFF1B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октябрь 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93" w:type="dxa"/>
          </w:tcPr>
          <w:p w14:paraId="215BA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апрель 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</w:tr>
      <w:tr w14:paraId="041D0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Align w:val="center"/>
          </w:tcPr>
          <w:p w14:paraId="0CFAEDF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393" w:type="dxa"/>
            <w:vAlign w:val="center"/>
          </w:tcPr>
          <w:p w14:paraId="75F4D44C">
            <w:pPr>
              <w:spacing w:after="0" w:line="240" w:lineRule="auto"/>
              <w:jc w:val="center"/>
              <w:rPr>
                <w:rFonts w:hint="default" w:ascii="Times New Roman" w:hAnsi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Theme="minorEastAsia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393" w:type="dxa"/>
            <w:vAlign w:val="center"/>
          </w:tcPr>
          <w:p w14:paraId="122AADA2">
            <w:pPr>
              <w:spacing w:after="0" w:line="240" w:lineRule="auto"/>
              <w:jc w:val="center"/>
              <w:rPr>
                <w:rFonts w:hint="default" w:ascii="Times New Roman" w:hAnsi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Theme="minorEastAsia"/>
                <w:sz w:val="24"/>
                <w:szCs w:val="24"/>
                <w:lang w:val="en-US" w:eastAsia="ru-RU"/>
              </w:rPr>
              <w:t>11%</w:t>
            </w:r>
          </w:p>
        </w:tc>
      </w:tr>
      <w:tr w14:paraId="394A4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Align w:val="center"/>
          </w:tcPr>
          <w:p w14:paraId="42ED10B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393" w:type="dxa"/>
            <w:vAlign w:val="center"/>
          </w:tcPr>
          <w:p w14:paraId="4786F060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Theme="minorEastAsia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  <w:vAlign w:val="center"/>
          </w:tcPr>
          <w:p w14:paraId="35615482">
            <w:pPr>
              <w:spacing w:after="0" w:line="240" w:lineRule="auto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hint="default" w:ascii="Times New Roman" w:hAnsi="Times New Roman" w:eastAsiaTheme="minorEastAsia"/>
                <w:sz w:val="24"/>
                <w:szCs w:val="24"/>
                <w:lang w:val="en-US" w:eastAsia="ru-RU"/>
              </w:rPr>
              <w:t>78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</w:tr>
      <w:tr w14:paraId="10C57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Align w:val="center"/>
          </w:tcPr>
          <w:p w14:paraId="4DBB281B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393" w:type="dxa"/>
          </w:tcPr>
          <w:p w14:paraId="227C6D80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393" w:type="dxa"/>
          </w:tcPr>
          <w:p w14:paraId="37C55874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11%</w:t>
            </w:r>
          </w:p>
        </w:tc>
      </w:tr>
      <w:tr w14:paraId="3B417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Align w:val="center"/>
          </w:tcPr>
          <w:p w14:paraId="1ADE4922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Очень низкий</w:t>
            </w:r>
          </w:p>
        </w:tc>
        <w:tc>
          <w:tcPr>
            <w:tcW w:w="2393" w:type="dxa"/>
          </w:tcPr>
          <w:p w14:paraId="26C59E11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</w:tcPr>
          <w:p w14:paraId="66F975F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-</w:t>
            </w:r>
          </w:p>
        </w:tc>
      </w:tr>
      <w:tr w14:paraId="478A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Align w:val="center"/>
          </w:tcPr>
          <w:p w14:paraId="0669055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393" w:type="dxa"/>
          </w:tcPr>
          <w:p w14:paraId="6ECFEC8F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</w:tcPr>
          <w:p w14:paraId="745E112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-</w:t>
            </w:r>
          </w:p>
        </w:tc>
      </w:tr>
      <w:tr w14:paraId="63F8E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2246CE4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Итоговое значение  в %</w:t>
            </w:r>
          </w:p>
        </w:tc>
        <w:tc>
          <w:tcPr>
            <w:tcW w:w="2393" w:type="dxa"/>
          </w:tcPr>
          <w:p w14:paraId="2A63E07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3" w:type="dxa"/>
          </w:tcPr>
          <w:p w14:paraId="521ED515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100%</w:t>
            </w:r>
          </w:p>
        </w:tc>
      </w:tr>
    </w:tbl>
    <w:p w14:paraId="2DD996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A8D8E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Вывод: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результатам  диагностики на конец учебного 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года  все дети успешно справились с диагностическими заданиями. Таким образом, можно сделать вывод, что все воспитанники (средней, старшей, подготовительной групп) усвоили программный материал по изучению татарского языка</w:t>
      </w:r>
    </w:p>
    <w:p w14:paraId="490C38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CE3FC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Результаты уровня знаний татарского языка выглядят следующим образом:</w:t>
      </w:r>
    </w:p>
    <w:p w14:paraId="67FB50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9271168">
      <w:pPr>
        <w:spacing w:after="0" w:line="240" w:lineRule="auto"/>
        <w:jc w:val="center"/>
        <w:rPr>
          <w:rFonts w:ascii="Times New Roman" w:hAnsi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eastAsiaTheme="minorEastAsia"/>
          <w:b/>
          <w:sz w:val="24"/>
          <w:szCs w:val="24"/>
          <w:lang w:eastAsia="ru-RU"/>
        </w:rPr>
        <w:t xml:space="preserve">Сводная таблица  результатов оценки усвоения детьми </w:t>
      </w:r>
    </w:p>
    <w:p w14:paraId="6495FD0A">
      <w:pPr>
        <w:spacing w:after="0" w:line="240" w:lineRule="auto"/>
        <w:jc w:val="center"/>
        <w:rPr>
          <w:rFonts w:ascii="Times New Roman" w:hAnsi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eastAsiaTheme="minorEastAsia"/>
          <w:b/>
          <w:sz w:val="24"/>
          <w:szCs w:val="24"/>
          <w:lang w:eastAsia="ru-RU"/>
        </w:rPr>
        <w:t>программного материала  по татарскому  языку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20A2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Merge w:val="restart"/>
          </w:tcPr>
          <w:p w14:paraId="09B0C3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Уровень знаний/</w:t>
            </w:r>
          </w:p>
          <w:p w14:paraId="53106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Итоговое значение</w:t>
            </w:r>
          </w:p>
          <w:p w14:paraId="1814A0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6E5194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Итого среднее значение</w:t>
            </w:r>
          </w:p>
          <w:p w14:paraId="3AFC04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в %</w:t>
            </w:r>
          </w:p>
        </w:tc>
      </w:tr>
      <w:tr w14:paraId="318DE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Merge w:val="continue"/>
          </w:tcPr>
          <w:p w14:paraId="7CE669E1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7379E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октябрь 2023 года</w:t>
            </w:r>
          </w:p>
        </w:tc>
      </w:tr>
      <w:tr w14:paraId="66C6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Align w:val="center"/>
          </w:tcPr>
          <w:p w14:paraId="1F3E1B1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4786" w:type="dxa"/>
            <w:vAlign w:val="center"/>
          </w:tcPr>
          <w:p w14:paraId="083D7A22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5A09B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Align w:val="center"/>
          </w:tcPr>
          <w:p w14:paraId="7DA21713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4786" w:type="dxa"/>
            <w:vAlign w:val="center"/>
          </w:tcPr>
          <w:p w14:paraId="2760C327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Theme="minorEastAsia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%</w:t>
            </w:r>
          </w:p>
        </w:tc>
      </w:tr>
      <w:tr w14:paraId="0782E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Align w:val="center"/>
          </w:tcPr>
          <w:p w14:paraId="421A24F9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4786" w:type="dxa"/>
          </w:tcPr>
          <w:p w14:paraId="18E7DBA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2C5CF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Align w:val="center"/>
          </w:tcPr>
          <w:p w14:paraId="68BCF4A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Очень низкий</w:t>
            </w:r>
          </w:p>
        </w:tc>
        <w:tc>
          <w:tcPr>
            <w:tcW w:w="4786" w:type="dxa"/>
          </w:tcPr>
          <w:p w14:paraId="5867C86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0AD88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vAlign w:val="center"/>
          </w:tcPr>
          <w:p w14:paraId="03487BFC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4786" w:type="dxa"/>
          </w:tcPr>
          <w:p w14:paraId="6F30B5C5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</w:tr>
      <w:tr w14:paraId="43C59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5303AA1C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Итоговое значение  в %</w:t>
            </w:r>
          </w:p>
        </w:tc>
        <w:tc>
          <w:tcPr>
            <w:tcW w:w="4786" w:type="dxa"/>
          </w:tcPr>
          <w:p w14:paraId="0F392B4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100%</w:t>
            </w:r>
          </w:p>
        </w:tc>
      </w:tr>
    </w:tbl>
    <w:p w14:paraId="760178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B14DD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Вывод: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результатам  справились  с диагностическими заданиями все воспитанники. Педагог проводит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 работу с воспитанниками с целью  обучения их татарскому языку и активному закреплению полученных знаний в режимных моментах.</w:t>
      </w:r>
    </w:p>
    <w:p w14:paraId="314EC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E5ED2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Воспитательная работа</w:t>
      </w:r>
    </w:p>
    <w:p w14:paraId="25380D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10764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Чтобы выбрать стратегию воспитательной работы, в 2024 году проводился анализ  состава семей воспитанников и составляется социальный паспорт</w:t>
      </w:r>
    </w:p>
    <w:p w14:paraId="6BA93F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0E081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Социальный паспорт 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784"/>
        <w:gridCol w:w="1015"/>
        <w:gridCol w:w="772"/>
        <w:gridCol w:w="933"/>
        <w:gridCol w:w="846"/>
        <w:gridCol w:w="653"/>
        <w:gridCol w:w="908"/>
        <w:gridCol w:w="748"/>
        <w:gridCol w:w="949"/>
        <w:gridCol w:w="641"/>
      </w:tblGrid>
      <w:tr w14:paraId="67BFF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pct"/>
          </w:tcPr>
          <w:p w14:paraId="2B994B3D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884" w:type="pct"/>
            <w:gridSpan w:val="2"/>
          </w:tcPr>
          <w:p w14:paraId="6E9BA21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lang w:eastAsia="ru-RU"/>
              </w:rPr>
              <w:t>из них</w:t>
            </w:r>
          </w:p>
        </w:tc>
        <w:tc>
          <w:tcPr>
            <w:tcW w:w="3470" w:type="pct"/>
            <w:gridSpan w:val="8"/>
          </w:tcPr>
          <w:p w14:paraId="1152DD8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lang w:eastAsia="ru-RU"/>
              </w:rPr>
              <w:t>воспитываются</w:t>
            </w:r>
          </w:p>
        </w:tc>
      </w:tr>
      <w:tr w14:paraId="199CD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pct"/>
          </w:tcPr>
          <w:p w14:paraId="2AD790D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  <w:t>Всего воспитанников</w:t>
            </w:r>
          </w:p>
        </w:tc>
        <w:tc>
          <w:tcPr>
            <w:tcW w:w="386" w:type="pct"/>
          </w:tcPr>
          <w:p w14:paraId="232492A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  <w:t>девочек</w:t>
            </w:r>
          </w:p>
        </w:tc>
        <w:tc>
          <w:tcPr>
            <w:tcW w:w="498" w:type="pct"/>
          </w:tcPr>
          <w:p w14:paraId="29DCFBD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  <w:t>мальчиков</w:t>
            </w:r>
          </w:p>
        </w:tc>
        <w:tc>
          <w:tcPr>
            <w:tcW w:w="390" w:type="pct"/>
          </w:tcPr>
          <w:p w14:paraId="217A83E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  <w:t>в полных</w:t>
            </w:r>
          </w:p>
        </w:tc>
        <w:tc>
          <w:tcPr>
            <w:tcW w:w="459" w:type="pct"/>
          </w:tcPr>
          <w:p w14:paraId="08B6307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  <w:t>в неполных</w:t>
            </w:r>
          </w:p>
        </w:tc>
        <w:tc>
          <w:tcPr>
            <w:tcW w:w="416" w:type="pct"/>
          </w:tcPr>
          <w:p w14:paraId="291E4A03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  <w:t>только с матерью</w:t>
            </w:r>
          </w:p>
        </w:tc>
        <w:tc>
          <w:tcPr>
            <w:tcW w:w="355" w:type="pct"/>
          </w:tcPr>
          <w:p w14:paraId="334A5AF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  <w:t>только с отцом</w:t>
            </w:r>
          </w:p>
        </w:tc>
        <w:tc>
          <w:tcPr>
            <w:tcW w:w="446" w:type="pct"/>
          </w:tcPr>
          <w:p w14:paraId="4539272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  <w:t>с опекуном</w:t>
            </w:r>
          </w:p>
        </w:tc>
        <w:tc>
          <w:tcPr>
            <w:tcW w:w="369" w:type="pct"/>
          </w:tcPr>
          <w:p w14:paraId="16A270B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  <w:t>дети-сироты</w:t>
            </w:r>
          </w:p>
        </w:tc>
        <w:tc>
          <w:tcPr>
            <w:tcW w:w="466" w:type="pct"/>
          </w:tcPr>
          <w:p w14:paraId="258A1B4C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568" w:type="pct"/>
          </w:tcPr>
          <w:p w14:paraId="4B54D407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16"/>
                <w:szCs w:val="16"/>
                <w:lang w:eastAsia="ru-RU"/>
              </w:rPr>
              <w:t>многодетные семьи</w:t>
            </w:r>
          </w:p>
        </w:tc>
      </w:tr>
      <w:tr w14:paraId="580BC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pct"/>
          </w:tcPr>
          <w:p w14:paraId="373973FA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386" w:type="pct"/>
          </w:tcPr>
          <w:p w14:paraId="7786CBFD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98" w:type="pct"/>
          </w:tcPr>
          <w:p w14:paraId="19936C5A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390" w:type="pct"/>
          </w:tcPr>
          <w:p w14:paraId="4D5FE3DA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459" w:type="pct"/>
          </w:tcPr>
          <w:p w14:paraId="6A9B39C3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416" w:type="pct"/>
          </w:tcPr>
          <w:p w14:paraId="6AB41F45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55" w:type="pct"/>
          </w:tcPr>
          <w:p w14:paraId="51C5CE2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6" w:type="pct"/>
          </w:tcPr>
          <w:p w14:paraId="49C5083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9" w:type="pct"/>
          </w:tcPr>
          <w:p w14:paraId="37AC17E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466" w:type="pct"/>
          </w:tcPr>
          <w:p w14:paraId="1C7E5EB3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8" w:type="pct"/>
          </w:tcPr>
          <w:p w14:paraId="51682F03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3</w:t>
            </w:r>
          </w:p>
        </w:tc>
      </w:tr>
    </w:tbl>
    <w:p w14:paraId="7BCD6CC0">
      <w:pPr>
        <w:rPr>
          <w:rFonts w:eastAsiaTheme="minorEastAsia"/>
          <w:b/>
          <w:lang w:eastAsia="ru-RU"/>
        </w:rPr>
      </w:pP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903"/>
        <w:gridCol w:w="1355"/>
        <w:gridCol w:w="989"/>
        <w:gridCol w:w="945"/>
        <w:gridCol w:w="764"/>
        <w:gridCol w:w="952"/>
        <w:gridCol w:w="519"/>
        <w:gridCol w:w="1311"/>
        <w:gridCol w:w="429"/>
      </w:tblGrid>
      <w:tr w14:paraId="02C38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pct"/>
          </w:tcPr>
          <w:p w14:paraId="6862E7AF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lang w:eastAsia="ru-RU"/>
              </w:rPr>
            </w:pPr>
          </w:p>
        </w:tc>
        <w:tc>
          <w:tcPr>
            <w:tcW w:w="4267" w:type="pct"/>
            <w:gridSpan w:val="9"/>
          </w:tcPr>
          <w:p w14:paraId="1D68946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lang w:eastAsia="ru-RU"/>
              </w:rPr>
              <w:t>место работы родителей</w:t>
            </w:r>
          </w:p>
        </w:tc>
      </w:tr>
      <w:tr w14:paraId="70A3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pct"/>
          </w:tcPr>
          <w:p w14:paraId="1C27AF7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гос</w:t>
            </w:r>
          </w:p>
          <w:p w14:paraId="2DBC747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предприятия</w:t>
            </w:r>
          </w:p>
        </w:tc>
        <w:tc>
          <w:tcPr>
            <w:tcW w:w="472" w:type="pct"/>
          </w:tcPr>
          <w:p w14:paraId="799ABFA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 xml:space="preserve">ИП (ООО; ОАО; ЗАО)  </w:t>
            </w:r>
          </w:p>
        </w:tc>
        <w:tc>
          <w:tcPr>
            <w:tcW w:w="708" w:type="pct"/>
          </w:tcPr>
          <w:p w14:paraId="5983DD8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безработные</w:t>
            </w:r>
          </w:p>
        </w:tc>
        <w:tc>
          <w:tcPr>
            <w:tcW w:w="517" w:type="pct"/>
          </w:tcPr>
          <w:p w14:paraId="499A686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военные</w:t>
            </w:r>
          </w:p>
        </w:tc>
        <w:tc>
          <w:tcPr>
            <w:tcW w:w="494" w:type="pct"/>
          </w:tcPr>
          <w:p w14:paraId="0828E7E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рабочие</w:t>
            </w:r>
          </w:p>
        </w:tc>
        <w:tc>
          <w:tcPr>
            <w:tcW w:w="399" w:type="pct"/>
          </w:tcPr>
          <w:p w14:paraId="2CCC10F7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врачи</w:t>
            </w:r>
          </w:p>
        </w:tc>
        <w:tc>
          <w:tcPr>
            <w:tcW w:w="497" w:type="pct"/>
          </w:tcPr>
          <w:p w14:paraId="27609E7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учителя</w:t>
            </w:r>
          </w:p>
        </w:tc>
        <w:tc>
          <w:tcPr>
            <w:tcW w:w="271" w:type="pct"/>
          </w:tcPr>
          <w:p w14:paraId="5A2CF84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ЧП</w:t>
            </w:r>
          </w:p>
        </w:tc>
        <w:tc>
          <w:tcPr>
            <w:tcW w:w="685" w:type="pct"/>
          </w:tcPr>
          <w:p w14:paraId="55AA1A87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пенсионеры</w:t>
            </w:r>
          </w:p>
        </w:tc>
        <w:tc>
          <w:tcPr>
            <w:tcW w:w="224" w:type="pct"/>
          </w:tcPr>
          <w:p w14:paraId="6386B05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и др</w:t>
            </w:r>
          </w:p>
        </w:tc>
      </w:tr>
      <w:tr w14:paraId="25F18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pct"/>
          </w:tcPr>
          <w:p w14:paraId="2F690DF7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72" w:type="pct"/>
          </w:tcPr>
          <w:p w14:paraId="3F636633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08" w:type="pct"/>
          </w:tcPr>
          <w:p w14:paraId="030C61B4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17" w:type="pct"/>
          </w:tcPr>
          <w:p w14:paraId="7816D852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94" w:type="pct"/>
          </w:tcPr>
          <w:p w14:paraId="023C7B35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9" w:type="pct"/>
          </w:tcPr>
          <w:p w14:paraId="1C077AE1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7" w:type="pct"/>
          </w:tcPr>
          <w:p w14:paraId="1219CA1C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14:paraId="03D0F834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85" w:type="pct"/>
          </w:tcPr>
          <w:p w14:paraId="6D78B91F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</w:tcPr>
          <w:p w14:paraId="44890F62"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9</w:t>
            </w:r>
          </w:p>
        </w:tc>
      </w:tr>
    </w:tbl>
    <w:p w14:paraId="3426B17A">
      <w:pPr>
        <w:rPr>
          <w:rFonts w:eastAsiaTheme="minorEastAsia"/>
          <w:b/>
          <w:lang w:eastAsia="ru-RU"/>
        </w:rPr>
      </w:pP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788"/>
        <w:gridCol w:w="1176"/>
        <w:gridCol w:w="1148"/>
        <w:gridCol w:w="394"/>
        <w:gridCol w:w="664"/>
        <w:gridCol w:w="895"/>
        <w:gridCol w:w="912"/>
        <w:gridCol w:w="990"/>
        <w:gridCol w:w="1137"/>
        <w:gridCol w:w="665"/>
      </w:tblGrid>
      <w:tr w14:paraId="0D4B7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pct"/>
            <w:gridSpan w:val="5"/>
          </w:tcPr>
          <w:p w14:paraId="2B122C1A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образование родителей</w:t>
            </w:r>
          </w:p>
        </w:tc>
        <w:tc>
          <w:tcPr>
            <w:tcW w:w="3115" w:type="pct"/>
            <w:gridSpan w:val="6"/>
          </w:tcPr>
          <w:p w14:paraId="6C48375C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 xml:space="preserve">социальное положение                                                          </w:t>
            </w:r>
          </w:p>
        </w:tc>
      </w:tr>
      <w:tr w14:paraId="2083A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</w:tcPr>
          <w:p w14:paraId="5154C1E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7" w:type="pct"/>
          </w:tcPr>
          <w:p w14:paraId="0AA17E6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среднее</w:t>
            </w:r>
          </w:p>
        </w:tc>
        <w:tc>
          <w:tcPr>
            <w:tcW w:w="506" w:type="pct"/>
          </w:tcPr>
          <w:p w14:paraId="226B334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средне-специальное</w:t>
            </w:r>
          </w:p>
        </w:tc>
        <w:tc>
          <w:tcPr>
            <w:tcW w:w="494" w:type="pct"/>
          </w:tcPr>
          <w:p w14:paraId="5820607F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средне-техническое</w:t>
            </w:r>
          </w:p>
        </w:tc>
        <w:tc>
          <w:tcPr>
            <w:tcW w:w="186" w:type="pct"/>
          </w:tcPr>
          <w:p w14:paraId="055EA10C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и др</w:t>
            </w:r>
          </w:p>
        </w:tc>
        <w:tc>
          <w:tcPr>
            <w:tcW w:w="698" w:type="pct"/>
          </w:tcPr>
          <w:p w14:paraId="3292096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малообеспеченные семьи</w:t>
            </w:r>
          </w:p>
        </w:tc>
        <w:tc>
          <w:tcPr>
            <w:tcW w:w="391" w:type="pct"/>
          </w:tcPr>
          <w:p w14:paraId="2564C5B8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беженцы</w:t>
            </w:r>
          </w:p>
        </w:tc>
        <w:tc>
          <w:tcPr>
            <w:tcW w:w="442" w:type="pct"/>
          </w:tcPr>
          <w:p w14:paraId="4166557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участники военных действий</w:t>
            </w:r>
          </w:p>
        </w:tc>
        <w:tc>
          <w:tcPr>
            <w:tcW w:w="429" w:type="pct"/>
          </w:tcPr>
          <w:p w14:paraId="694F8D47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родители-инвалиды</w:t>
            </w:r>
          </w:p>
        </w:tc>
        <w:tc>
          <w:tcPr>
            <w:tcW w:w="490" w:type="pct"/>
          </w:tcPr>
          <w:p w14:paraId="3BE06D09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осужденные</w:t>
            </w:r>
          </w:p>
          <w:p w14:paraId="039A3F5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 xml:space="preserve"> родители</w:t>
            </w:r>
          </w:p>
        </w:tc>
        <w:tc>
          <w:tcPr>
            <w:tcW w:w="664" w:type="pct"/>
          </w:tcPr>
          <w:p w14:paraId="3BDF193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неблагополучные семьи</w:t>
            </w:r>
          </w:p>
        </w:tc>
      </w:tr>
      <w:tr w14:paraId="0D3A9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</w:tcPr>
          <w:p w14:paraId="07203809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47" w:type="pct"/>
          </w:tcPr>
          <w:p w14:paraId="75F0B3E4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06" w:type="pct"/>
          </w:tcPr>
          <w:p w14:paraId="2108700C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94" w:type="pct"/>
          </w:tcPr>
          <w:p w14:paraId="2EE1E1D1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86" w:type="pct"/>
          </w:tcPr>
          <w:p w14:paraId="45B8FAFD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8" w:type="pct"/>
          </w:tcPr>
          <w:p w14:paraId="3C44B4F7"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</w:tcPr>
          <w:p w14:paraId="3525119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</w:tcPr>
          <w:p w14:paraId="41F61502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29" w:type="pct"/>
          </w:tcPr>
          <w:p w14:paraId="4E0F6F1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</w:tcPr>
          <w:p w14:paraId="4D9EC2F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</w:tcPr>
          <w:p w14:paraId="539E895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  <w:lang w:eastAsia="ru-RU"/>
              </w:rPr>
            </w:pPr>
          </w:p>
        </w:tc>
      </w:tr>
    </w:tbl>
    <w:p w14:paraId="7162CF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D0819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9EA02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Взаимосвязь работы ДОУ с семьёй осуществляется через различные направления работы: наглядное информирование, участие в традиционных мероприятиях, родительские собрания, мастер-классы, консультации, направленные на организацию комплекса профилактических и коррекционных мер с воспитанниками и их семьями. </w:t>
      </w:r>
    </w:p>
    <w:p w14:paraId="2FDE610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дальнейшем планируем продолжать расширять связи с родителями, искать новые формы сотрудничества в современных условиях.</w:t>
      </w:r>
    </w:p>
    <w:p w14:paraId="742F7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0F6A9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Дополнительное образование</w:t>
      </w:r>
    </w:p>
    <w:p w14:paraId="56947F6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4A7FCA99">
      <w:pPr>
        <w:spacing w:after="0"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 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202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ru-RU"/>
        </w:rPr>
        <w:t>5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велась дополнительная образовательная деятельность.  Организовывались и проводились занятия, мероприятия в рамках кружков: </w:t>
      </w:r>
    </w:p>
    <w:p w14:paraId="395B237E">
      <w:pPr>
        <w:spacing w:after="0"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«ПДД », «В мире сказок»,  «Речевичок».</w:t>
      </w:r>
    </w:p>
    <w:tbl>
      <w:tblPr>
        <w:tblStyle w:val="11"/>
        <w:tblW w:w="978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835"/>
        <w:gridCol w:w="1417"/>
        <w:gridCol w:w="2545"/>
        <w:gridCol w:w="1991"/>
      </w:tblGrid>
      <w:tr w14:paraId="25BFA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C5997DD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7223097E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bCs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1417" w:type="dxa"/>
          </w:tcPr>
          <w:p w14:paraId="73B4F047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  <w:t>Количество занятий в неделю</w:t>
            </w:r>
          </w:p>
        </w:tc>
        <w:tc>
          <w:tcPr>
            <w:tcW w:w="2545" w:type="dxa"/>
          </w:tcPr>
          <w:p w14:paraId="381A8902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bCs/>
                <w:sz w:val="24"/>
                <w:szCs w:val="24"/>
                <w:lang w:eastAsia="ru-RU"/>
              </w:rPr>
              <w:t>Объём недельной нагрузки по дополнительному образованию (минут)</w:t>
            </w:r>
          </w:p>
        </w:tc>
        <w:tc>
          <w:tcPr>
            <w:tcW w:w="1991" w:type="dxa"/>
          </w:tcPr>
          <w:p w14:paraId="60BE6F11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  <w:t>Количество занятий в год</w:t>
            </w:r>
          </w:p>
        </w:tc>
      </w:tr>
      <w:tr w14:paraId="02710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5"/>
          </w:tcPr>
          <w:p w14:paraId="11DABE4D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bCs/>
                <w:sz w:val="24"/>
                <w:szCs w:val="24"/>
                <w:lang w:eastAsia="ru-RU"/>
              </w:rPr>
              <w:t>Направление познавательное речевое развитие</w:t>
            </w:r>
          </w:p>
        </w:tc>
      </w:tr>
      <w:tr w14:paraId="5D8FC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restart"/>
          </w:tcPr>
          <w:p w14:paraId="0797C86B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20925838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  <w:t xml:space="preserve">Старшая группа </w:t>
            </w:r>
          </w:p>
        </w:tc>
        <w:tc>
          <w:tcPr>
            <w:tcW w:w="1417" w:type="dxa"/>
          </w:tcPr>
          <w:p w14:paraId="01CF48A4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545" w:type="dxa"/>
          </w:tcPr>
          <w:p w14:paraId="0AEE73C1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991" w:type="dxa"/>
          </w:tcPr>
          <w:p w14:paraId="5A09A9B2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  <w:t>36</w:t>
            </w:r>
          </w:p>
        </w:tc>
      </w:tr>
      <w:tr w14:paraId="455B6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continue"/>
          </w:tcPr>
          <w:p w14:paraId="0D50E42A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D63B7EF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1417" w:type="dxa"/>
          </w:tcPr>
          <w:p w14:paraId="7DEAB7D4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545" w:type="dxa"/>
          </w:tcPr>
          <w:p w14:paraId="12310C2E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991" w:type="dxa"/>
          </w:tcPr>
          <w:p w14:paraId="46A575AA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Cs/>
                <w:sz w:val="24"/>
                <w:szCs w:val="24"/>
                <w:lang w:eastAsia="ru-RU"/>
              </w:rPr>
              <w:t>36</w:t>
            </w:r>
          </w:p>
        </w:tc>
      </w:tr>
    </w:tbl>
    <w:p w14:paraId="2C8147C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8F0B57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69AE5A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Вывод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Дополнительные услуги созданы с учетом пожеланий родителей и воспитанников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МБДОУ «Лучовский детский сад»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. На каждый вид дополнительного образования разработана  программа. </w:t>
      </w:r>
    </w:p>
    <w:p w14:paraId="3AE030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72BC9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IV. Оценка функционирования внутренней системы оценки качества образования</w:t>
      </w:r>
    </w:p>
    <w:p w14:paraId="0586A5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BE1EAC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kern w:val="24"/>
          <w:sz w:val="24"/>
          <w:szCs w:val="24"/>
          <w:lang w:eastAsia="ru-RU"/>
        </w:rPr>
        <w:t>Систему качества дошкольного образования мы рассматриваем как систему контроля  внутри ДОУ, которая включает в себя интегративные качества:</w:t>
      </w:r>
    </w:p>
    <w:p w14:paraId="3E481134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  <w:lang w:eastAsia="ru-RU"/>
        </w:rPr>
        <w:t>- Качество методической работы</w:t>
      </w:r>
    </w:p>
    <w:p w14:paraId="7CA9C362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  <w:lang w:eastAsia="ru-RU"/>
        </w:rPr>
        <w:t>- Качество воспитательно-образовательного процесса</w:t>
      </w:r>
    </w:p>
    <w:p w14:paraId="69EC9A70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  <w:lang w:eastAsia="ru-RU"/>
        </w:rPr>
        <w:t>- Качество взаимодействия с родителями</w:t>
      </w:r>
    </w:p>
    <w:p w14:paraId="1A1E8B1C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  <w:lang w:eastAsia="ru-RU"/>
        </w:rPr>
        <w:t>- Качество работы с педагогическими кадрами</w:t>
      </w:r>
    </w:p>
    <w:p w14:paraId="6EC9E9A0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 w:themeColor="text1"/>
          <w:kern w:val="24"/>
          <w:sz w:val="24"/>
          <w:szCs w:val="24"/>
          <w:lang w:eastAsia="ru-RU"/>
        </w:rPr>
        <w:t>-  Качество развивающей предметно-пространственной среды.</w:t>
      </w:r>
    </w:p>
    <w:p w14:paraId="34D0A94A">
      <w:pPr>
        <w:pStyle w:val="10"/>
        <w:spacing w:before="0" w:beforeAutospacing="0" w:after="0" w:afterAutospacing="0"/>
        <w:jc w:val="both"/>
        <w:rPr>
          <w:color w:val="000000" w:themeColor="text1"/>
        </w:rPr>
      </w:pPr>
      <w:r>
        <w:rPr>
          <w:rFonts w:eastAsiaTheme="minorEastAsia"/>
          <w:b/>
          <w:bCs/>
          <w:color w:val="000000" w:themeColor="text1"/>
          <w:kern w:val="24"/>
        </w:rPr>
        <w:t xml:space="preserve">Выводы: </w:t>
      </w:r>
      <w:r>
        <w:rPr>
          <w:rFonts w:eastAsiaTheme="minorEastAsia"/>
          <w:color w:val="000000" w:themeColor="text1"/>
          <w:kern w:val="24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</w:p>
    <w:p w14:paraId="50DA7C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Theme="minorEastAsia"/>
          <w:sz w:val="24"/>
          <w:szCs w:val="24"/>
          <w:lang w:eastAsia="ru-RU"/>
        </w:rPr>
      </w:pPr>
    </w:p>
    <w:p w14:paraId="6AD2D8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Theme="minorEastAsia"/>
          <w:sz w:val="24"/>
          <w:szCs w:val="24"/>
          <w:lang w:eastAsia="ru-RU"/>
        </w:rPr>
      </w:pPr>
    </w:p>
    <w:p w14:paraId="3EC5FC5C">
      <w:pPr>
        <w:spacing w:after="0" w:line="240" w:lineRule="auto"/>
        <w:jc w:val="center"/>
        <w:rPr>
          <w:rFonts w:ascii="Times New Roman" w:hAnsi="Times New Roman" w:eastAsiaTheme="minorEastAsia"/>
          <w:b/>
          <w:sz w:val="24"/>
          <w:szCs w:val="24"/>
          <w:lang w:eastAsia="ru-RU"/>
        </w:rPr>
      </w:pPr>
    </w:p>
    <w:p w14:paraId="5C809E42">
      <w:pPr>
        <w:spacing w:after="0" w:line="240" w:lineRule="auto"/>
        <w:jc w:val="center"/>
        <w:rPr>
          <w:rFonts w:ascii="Times New Roman" w:hAnsi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eastAsiaTheme="minorEastAsia"/>
          <w:b/>
          <w:sz w:val="24"/>
          <w:szCs w:val="24"/>
          <w:lang w:eastAsia="ru-RU"/>
        </w:rPr>
        <w:t xml:space="preserve">Сводная таблица  результативности участия воспитанников </w:t>
      </w:r>
    </w:p>
    <w:p w14:paraId="0DD8B523">
      <w:pPr>
        <w:spacing w:after="0" w:line="240" w:lineRule="auto"/>
        <w:jc w:val="center"/>
        <w:rPr>
          <w:rFonts w:ascii="Times New Roman" w:hAnsi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eastAsiaTheme="minorEastAsia"/>
          <w:b/>
          <w:sz w:val="24"/>
          <w:szCs w:val="24"/>
          <w:lang w:eastAsia="ru-RU"/>
        </w:rPr>
        <w:t>в конкурсах различного уровня</w:t>
      </w:r>
    </w:p>
    <w:p w14:paraId="4DAEE320">
      <w:pPr>
        <w:spacing w:after="0" w:line="240" w:lineRule="auto"/>
        <w:jc w:val="center"/>
        <w:rPr>
          <w:rFonts w:ascii="Times New Roman" w:hAnsi="Times New Roman" w:eastAsiaTheme="minorEastAsia"/>
          <w:b/>
          <w:sz w:val="24"/>
          <w:szCs w:val="24"/>
          <w:lang w:eastAsia="ru-RU"/>
        </w:rPr>
      </w:pPr>
    </w:p>
    <w:tbl>
      <w:tblPr>
        <w:tblStyle w:val="11"/>
        <w:tblW w:w="0" w:type="auto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3"/>
        <w:gridCol w:w="5494"/>
      </w:tblGrid>
      <w:tr w14:paraId="2B83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7" w:type="dxa"/>
            <w:gridSpan w:val="2"/>
            <w:vAlign w:val="center"/>
          </w:tcPr>
          <w:p w14:paraId="6054E27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eastAsia="ru-RU"/>
              </w:rPr>
              <w:t xml:space="preserve">Количество призовых мест по итогам участия  в конкурсах </w:t>
            </w:r>
          </w:p>
        </w:tc>
      </w:tr>
      <w:tr w14:paraId="50AF4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3" w:type="dxa"/>
            <w:vAlign w:val="center"/>
          </w:tcPr>
          <w:p w14:paraId="6E88094B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202</w:t>
            </w:r>
            <w:r>
              <w:rPr>
                <w:rFonts w:hint="default" w:ascii="Times New Roman" w:hAnsi="Times New Roman" w:eastAsiaTheme="minorEastAsia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494" w:type="dxa"/>
            <w:vAlign w:val="center"/>
          </w:tcPr>
          <w:p w14:paraId="3FB66B9E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202</w:t>
            </w:r>
            <w:r>
              <w:rPr>
                <w:rFonts w:hint="default" w:ascii="Times New Roman" w:hAnsi="Times New Roman" w:eastAsiaTheme="minorEastAsia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 xml:space="preserve"> год</w:t>
            </w:r>
          </w:p>
        </w:tc>
      </w:tr>
      <w:tr w14:paraId="50AA7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3" w:type="dxa"/>
            <w:vAlign w:val="center"/>
          </w:tcPr>
          <w:p w14:paraId="29CAACC7">
            <w:pPr>
              <w:spacing w:after="0" w:line="240" w:lineRule="auto"/>
              <w:jc w:val="center"/>
              <w:rPr>
                <w:rFonts w:hint="default" w:ascii="Times New Roman" w:hAnsi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Theme="minorEastAsia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494" w:type="dxa"/>
          </w:tcPr>
          <w:p w14:paraId="05CE52F2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ru-RU"/>
              </w:rPr>
              <w:t>1</w:t>
            </w:r>
          </w:p>
        </w:tc>
      </w:tr>
    </w:tbl>
    <w:p w14:paraId="7F093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8BA72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Вывод: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Прослеживается результативность и активное участие воспитанников в конкурсах  различного уровня</w:t>
      </w:r>
    </w:p>
    <w:p w14:paraId="4C14BF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B47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году проводилось анкетирование родителей, которое позволило оценить их удовлетворенность качеством услуг. </w:t>
      </w:r>
    </w:p>
    <w:p w14:paraId="1B0015BB">
      <w:pPr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По критерию: открытость и доступность информации об учреждении средний балл составляет: 9,5 (максимальный 10), что указывает на то, информация об учреждении в достаточной мере открыта, актуальна и доступна для родителей воспитанников</w:t>
      </w:r>
    </w:p>
    <w:p w14:paraId="0D866E64">
      <w:pPr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eastAsia="ru-RU"/>
        </w:rPr>
        <w:t xml:space="preserve">По критерию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комфортность условий, в которых осуществляется образовательная деятельность средний балл составляет: 9,8 (максимальный 10), что указывает на то, что в организации созданы достаточно комфортные условия для осуществления воспитательно-образовательной деятельности (как групповой, так и индивидуальной)</w:t>
      </w:r>
    </w:p>
    <w:p w14:paraId="74C03465">
      <w:pPr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По критерию доброжелательность, вежливость, компетентность работников все  родители (100%) ответили положительно на предложенные вопросы, что указывает на то, что работники ДОУ (по мнению родителей) доброжелательны, компетентны и вежливы</w:t>
      </w:r>
    </w:p>
    <w:p w14:paraId="79739268">
      <w:pPr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По критерию удовлетворенность качеством образовательной деятельности организации все  родители (100%) ответили положительно на предложенные вопросы, что указывает на то, что все опрошенные родители удовлетворены качеством образовательной деятельности организации</w:t>
      </w:r>
    </w:p>
    <w:p w14:paraId="72C37A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C397E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34BF7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4124325" cy="2343150"/>
            <wp:effectExtent l="5080" t="4445" r="4445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72C3A3B">
      <w:pPr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2ABC158">
      <w:pPr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Таким образом, можно сделать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вывод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Организация воспитательно-образовательной работы в ДОУ находится на достаточно высоком уровне</w:t>
      </w:r>
    </w:p>
    <w:p w14:paraId="61E0B9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Сравнивая результаты проведенного анкетирования с родителями на тему: «Удовлетворенность качеством услуг» за 2023 и 2024гг. можно сделать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вывод: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Показатель удовлетворенности родителей качеством услуг в ДОУ увеличился и составляет 100% (из максимальных 100%). Таким образом,  данный показатель указывает на высокий уровень организации прозрачности воспитательно-образовательного процесса в ДОУ.</w:t>
      </w:r>
    </w:p>
    <w:p w14:paraId="1D1544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452D8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V. Оценка кадрового обеспечения</w:t>
      </w:r>
    </w:p>
    <w:p w14:paraId="290D7D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510238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Детский сад полностью укомплектован кадрами по штатному расписанию. Образовательный процесс осуществляют 3 педагога, из них 3 воспитателя.</w:t>
      </w:r>
    </w:p>
    <w:p w14:paraId="363EF33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Детский сад укомплектован профессиональными  педагогическими кадрами. Все вакантные места стабильно востребованы – 100% обеспечены. </w:t>
      </w:r>
    </w:p>
    <w:p w14:paraId="3FE5B4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F456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Соотношение "педагогический работник/воспитанник" в дошкольной образовательной организации: 3/24</w:t>
      </w:r>
    </w:p>
    <w:p w14:paraId="5CA338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В 202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ru-RU"/>
        </w:rPr>
        <w:t>5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>году педагоги обучались на семинарах, вебинарах по реализации программы ФОП.</w:t>
      </w:r>
    </w:p>
    <w:p w14:paraId="3AB5C0AC">
      <w:pPr>
        <w:spacing w:after="0" w:line="240" w:lineRule="auto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27F2010C">
      <w:pPr>
        <w:spacing w:after="0" w:line="240" w:lineRule="auto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</w:p>
    <w:p w14:paraId="380C2AC4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eastAsia="ru-RU"/>
        </w:rPr>
        <w:t>Цифровые данные о наличии квалификационных категорий   педагогических работников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438"/>
        <w:gridCol w:w="1671"/>
        <w:gridCol w:w="1596"/>
        <w:gridCol w:w="1013"/>
        <w:gridCol w:w="1171"/>
        <w:gridCol w:w="1325"/>
      </w:tblGrid>
      <w:tr w14:paraId="4F19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pct"/>
            <w:vMerge w:val="restart"/>
            <w:textDirection w:val="btLr"/>
          </w:tcPr>
          <w:p w14:paraId="74908D70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Общая численность педагогических работников </w:t>
            </w:r>
          </w:p>
          <w:p w14:paraId="7EBB0BD4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  <w:p w14:paraId="0A58F453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  <w:p w14:paraId="474A1EDC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  <w:p w14:paraId="7DB89D64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vMerge w:val="restart"/>
            <w:textDirection w:val="btLr"/>
          </w:tcPr>
          <w:p w14:paraId="457756B6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Всего имеют квалификацион</w:t>
            </w:r>
          </w:p>
          <w:p w14:paraId="7EBDCD48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ные категории</w:t>
            </w:r>
          </w:p>
          <w:p w14:paraId="77A3C78A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(число и %)</w:t>
            </w:r>
          </w:p>
        </w:tc>
        <w:tc>
          <w:tcPr>
            <w:tcW w:w="1707" w:type="pct"/>
            <w:gridSpan w:val="2"/>
          </w:tcPr>
          <w:p w14:paraId="64979A64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33" w:type="pct"/>
            <w:gridSpan w:val="3"/>
          </w:tcPr>
          <w:p w14:paraId="1323ED9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Не имеют кв. категорию</w:t>
            </w:r>
          </w:p>
        </w:tc>
      </w:tr>
      <w:tr w14:paraId="68503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pct"/>
            <w:vMerge w:val="continue"/>
            <w:vAlign w:val="center"/>
          </w:tcPr>
          <w:p w14:paraId="35612C09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vMerge w:val="continue"/>
            <w:vAlign w:val="center"/>
          </w:tcPr>
          <w:p w14:paraId="4ED331CB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pct"/>
            <w:gridSpan w:val="2"/>
          </w:tcPr>
          <w:p w14:paraId="3930AE30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Из них имеют</w:t>
            </w:r>
          </w:p>
        </w:tc>
        <w:tc>
          <w:tcPr>
            <w:tcW w:w="1833" w:type="pct"/>
            <w:gridSpan w:val="3"/>
          </w:tcPr>
          <w:p w14:paraId="7ABFB7A9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Из них</w:t>
            </w:r>
          </w:p>
        </w:tc>
      </w:tr>
      <w:tr w14:paraId="46CEA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709" w:type="pct"/>
            <w:vMerge w:val="continue"/>
            <w:vAlign w:val="center"/>
          </w:tcPr>
          <w:p w14:paraId="5A80D61A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vMerge w:val="continue"/>
            <w:vAlign w:val="center"/>
          </w:tcPr>
          <w:p w14:paraId="2C893B04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extDirection w:val="btLr"/>
          </w:tcPr>
          <w:p w14:paraId="48C33AAF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Высшую категорию (число и %)</w:t>
            </w:r>
          </w:p>
          <w:p w14:paraId="35E1ECD4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  <w:p w14:paraId="00E93C26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  <w:p w14:paraId="1EC905F5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textDirection w:val="btLr"/>
          </w:tcPr>
          <w:p w14:paraId="5A7B89D8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Первую </w:t>
            </w:r>
          </w:p>
          <w:p w14:paraId="2975F1B9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категорию (число и %)</w:t>
            </w:r>
          </w:p>
          <w:p w14:paraId="59C34098">
            <w:pPr>
              <w:spacing w:after="0" w:line="240" w:lineRule="auto"/>
              <w:ind w:left="113" w:right="113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Вторую категорию (число и %)</w:t>
            </w:r>
          </w:p>
        </w:tc>
        <w:tc>
          <w:tcPr>
            <w:tcW w:w="529" w:type="pct"/>
          </w:tcPr>
          <w:p w14:paraId="51101832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12" w:type="pct"/>
          </w:tcPr>
          <w:p w14:paraId="52599B3B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Прошли на  СЗД</w:t>
            </w:r>
          </w:p>
          <w:p w14:paraId="291FCA9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  <w:p w14:paraId="56F99DEC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  <w:p w14:paraId="7053703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  <w:p w14:paraId="169AF05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</w:tcPr>
          <w:p w14:paraId="744F29E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Не проходили на СЗД</w:t>
            </w:r>
          </w:p>
        </w:tc>
      </w:tr>
      <w:tr w14:paraId="21A34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pct"/>
          </w:tcPr>
          <w:p w14:paraId="6751C369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pct"/>
          </w:tcPr>
          <w:p w14:paraId="56143FA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 (100%)</w:t>
            </w:r>
          </w:p>
        </w:tc>
        <w:tc>
          <w:tcPr>
            <w:tcW w:w="873" w:type="pct"/>
          </w:tcPr>
          <w:p w14:paraId="3052119C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0 (0%)</w:t>
            </w:r>
          </w:p>
        </w:tc>
        <w:tc>
          <w:tcPr>
            <w:tcW w:w="834" w:type="pct"/>
          </w:tcPr>
          <w:p w14:paraId="51F736B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 (100%)</w:t>
            </w:r>
          </w:p>
        </w:tc>
        <w:tc>
          <w:tcPr>
            <w:tcW w:w="529" w:type="pct"/>
          </w:tcPr>
          <w:p w14:paraId="269CA433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</w:tcPr>
          <w:p w14:paraId="645D5C1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2" w:type="pct"/>
          </w:tcPr>
          <w:p w14:paraId="3F7EB364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-</w:t>
            </w:r>
          </w:p>
        </w:tc>
      </w:tr>
    </w:tbl>
    <w:p w14:paraId="535C0E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2FF28B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D43F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A2CC0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Вывод: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Прослеживается положительная динамика в повышении уровня квалификационных категорий педагогических работников</w:t>
      </w:r>
    </w:p>
    <w:p w14:paraId="5CF20E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B736A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Курсы повышения квалификации планово и в срок (1 раз в 3 года) проходят все педагогические работники ДОУ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.  В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году курсы повышения квалификации были пройдены у всех педагогов, планируемая дата прохождения курсов –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год. </w:t>
      </w:r>
    </w:p>
    <w:p w14:paraId="7D598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A44E44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Анализ кадрового обеспечения воспитательно-образовательного процесса</w:t>
      </w:r>
    </w:p>
    <w:p w14:paraId="20AE9818">
      <w:pPr>
        <w:spacing w:after="0" w:line="240" w:lineRule="auto"/>
        <w:rPr>
          <w:rFonts w:ascii="Times New Roman" w:hAnsi="Times New Roman" w:eastAsia="Calibri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Биологический средний возраст педагогов </w:t>
      </w:r>
      <w:r>
        <w:rPr>
          <w:rFonts w:ascii="Times New Roman" w:hAnsi="Times New Roman" w:eastAsia="Calibri" w:cs="Times New Roman"/>
          <w:b/>
          <w:i/>
          <w:sz w:val="24"/>
          <w:szCs w:val="24"/>
          <w:lang w:eastAsia="ru-RU"/>
        </w:rPr>
        <w:t>(в сравнении за два  года)</w:t>
      </w:r>
    </w:p>
    <w:tbl>
      <w:tblPr>
        <w:tblStyle w:val="3"/>
        <w:tblW w:w="33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6"/>
        <w:gridCol w:w="3335"/>
      </w:tblGrid>
      <w:tr w14:paraId="0AFE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5" w:type="pct"/>
          </w:tcPr>
          <w:p w14:paraId="0D63F1F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05" w:type="pct"/>
          </w:tcPr>
          <w:p w14:paraId="1FE032D7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14:paraId="4D7CD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5" w:type="pct"/>
          </w:tcPr>
          <w:p w14:paraId="5D58F8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605" w:type="pct"/>
          </w:tcPr>
          <w:p w14:paraId="594B3B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14:paraId="6137647E">
      <w:pPr>
        <w:spacing w:after="0" w:line="240" w:lineRule="auto"/>
        <w:rPr>
          <w:rFonts w:ascii="Times New Roman" w:hAnsi="Times New Roman" w:eastAsia="Calibri" w:cs="Times New Roman"/>
          <w:b/>
          <w:i/>
          <w:sz w:val="24"/>
          <w:szCs w:val="24"/>
          <w:lang w:eastAsia="ru-RU"/>
        </w:rPr>
      </w:pPr>
    </w:p>
    <w:p w14:paraId="017699F2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По уровню образования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524"/>
        <w:gridCol w:w="1417"/>
        <w:gridCol w:w="776"/>
        <w:gridCol w:w="1417"/>
        <w:gridCol w:w="702"/>
        <w:gridCol w:w="1417"/>
        <w:gridCol w:w="754"/>
      </w:tblGrid>
      <w:tr w14:paraId="5224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5" w:type="dxa"/>
            <w:vMerge w:val="restart"/>
          </w:tcPr>
          <w:p w14:paraId="6125AD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24" w:type="dxa"/>
            <w:vMerge w:val="restart"/>
          </w:tcPr>
          <w:p w14:paraId="575E8A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4721413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2126" w:type="dxa"/>
            <w:gridSpan w:val="2"/>
          </w:tcPr>
          <w:p w14:paraId="776304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119" w:type="dxa"/>
            <w:gridSpan w:val="2"/>
          </w:tcPr>
          <w:p w14:paraId="3994F3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Незаконченное высшее</w:t>
            </w:r>
          </w:p>
        </w:tc>
        <w:tc>
          <w:tcPr>
            <w:tcW w:w="2171" w:type="dxa"/>
            <w:gridSpan w:val="2"/>
          </w:tcPr>
          <w:p w14:paraId="5EDBF5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</w:tr>
      <w:tr w14:paraId="03C72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5" w:type="dxa"/>
            <w:vMerge w:val="continue"/>
          </w:tcPr>
          <w:p w14:paraId="4F7E8E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vMerge w:val="continue"/>
          </w:tcPr>
          <w:p w14:paraId="54EA39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FBF79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09" w:type="dxa"/>
          </w:tcPr>
          <w:p w14:paraId="415D02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14:paraId="7D83CA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02" w:type="dxa"/>
          </w:tcPr>
          <w:p w14:paraId="6C4329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14:paraId="26965A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54" w:type="dxa"/>
          </w:tcPr>
          <w:p w14:paraId="050345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14:paraId="23A8A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5" w:type="dxa"/>
          </w:tcPr>
          <w:p w14:paraId="67621E1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24" w:type="dxa"/>
          </w:tcPr>
          <w:p w14:paraId="6A0837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0EC1C4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45EEA972"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14:paraId="5EE284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</w:tcPr>
          <w:p w14:paraId="2C519E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0A49D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14:paraId="6E5A28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552E9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5" w:type="dxa"/>
          </w:tcPr>
          <w:p w14:paraId="0E6E776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24" w:type="dxa"/>
          </w:tcPr>
          <w:p w14:paraId="4114F6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48663B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281B16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14:paraId="70E628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</w:tcPr>
          <w:p w14:paraId="14B294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FE9CD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</w:tcPr>
          <w:p w14:paraId="727D91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C0B5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55F2B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Вывод: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Высшее образование имеют все педагогические работники.</w:t>
      </w:r>
    </w:p>
    <w:p w14:paraId="217E64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Уровень своей квалификации педагоги подтверждают, участвуя в конкурсах профессионального мастерства. </w:t>
      </w:r>
    </w:p>
    <w:p w14:paraId="17DD90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CF814FD">
      <w:pPr>
        <w:spacing w:after="0" w:line="240" w:lineRule="auto"/>
        <w:jc w:val="center"/>
        <w:rPr>
          <w:rFonts w:ascii="Times New Roman" w:hAnsi="Times New Roman" w:cs="Times New Roman" w:eastAsiaTheme="minorEastAsia"/>
          <w:b/>
          <w:lang w:eastAsia="ru-RU"/>
        </w:rPr>
      </w:pPr>
      <w:r>
        <w:rPr>
          <w:rFonts w:ascii="Times New Roman" w:hAnsi="Times New Roman" w:cs="Times New Roman" w:eastAsiaTheme="minorEastAsia"/>
          <w:b/>
          <w:lang w:eastAsia="ru-RU"/>
        </w:rPr>
        <w:t>Результативность участия коллектива ДОУ  (в том числе отдельных педагогов) в профессиональных конкурсах муниципального  уровня в 202</w:t>
      </w:r>
      <w:r>
        <w:rPr>
          <w:rFonts w:hint="default" w:ascii="Times New Roman" w:hAnsi="Times New Roman" w:cs="Times New Roman" w:eastAsiaTheme="minorEastAsia"/>
          <w:b/>
          <w:lang w:val="en-US" w:eastAsia="ru-RU"/>
        </w:rPr>
        <w:t>5</w:t>
      </w:r>
      <w:r>
        <w:rPr>
          <w:rFonts w:ascii="Times New Roman" w:hAnsi="Times New Roman" w:cs="Times New Roman" w:eastAsiaTheme="minorEastAsia"/>
          <w:b/>
          <w:lang w:eastAsia="ru-RU"/>
        </w:rPr>
        <w:t xml:space="preserve">  году</w:t>
      </w:r>
    </w:p>
    <w:p w14:paraId="6F6B8E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24775867">
      <w:pPr>
        <w:tabs>
          <w:tab w:val="left" w:pos="2685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2024  учебном  году педагогический коллектив ДОУ активно участвовал в различных конкурсах.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854"/>
        <w:gridCol w:w="2327"/>
        <w:gridCol w:w="2387"/>
      </w:tblGrid>
      <w:tr w14:paraId="789D8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12ACDBF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54" w:type="dxa"/>
          </w:tcPr>
          <w:p w14:paraId="39D9D277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327" w:type="dxa"/>
          </w:tcPr>
          <w:p w14:paraId="677EB18A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387" w:type="dxa"/>
          </w:tcPr>
          <w:p w14:paraId="355FD7D5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14:paraId="20102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67" w:type="dxa"/>
          </w:tcPr>
          <w:p w14:paraId="7C84D70D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854" w:type="dxa"/>
          </w:tcPr>
          <w:p w14:paraId="6B6AC0AC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Муниципальный конкурс «В мире сказки»</w:t>
            </w:r>
          </w:p>
        </w:tc>
        <w:tc>
          <w:tcPr>
            <w:tcW w:w="2327" w:type="dxa"/>
          </w:tcPr>
          <w:p w14:paraId="77F1FF9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Ахметова Г.Г.</w:t>
            </w:r>
          </w:p>
          <w:p w14:paraId="2473548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Гайсина Э.Г.</w:t>
            </w:r>
          </w:p>
          <w:p w14:paraId="5D02A12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Малышева Л.А.</w:t>
            </w:r>
          </w:p>
          <w:p w14:paraId="025AF75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Мустафина Э.Р.</w:t>
            </w:r>
          </w:p>
        </w:tc>
        <w:tc>
          <w:tcPr>
            <w:tcW w:w="2387" w:type="dxa"/>
          </w:tcPr>
          <w:p w14:paraId="7889237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Лауреат</w:t>
            </w:r>
          </w:p>
        </w:tc>
      </w:tr>
      <w:tr w14:paraId="73E44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02F216B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3854" w:type="dxa"/>
          </w:tcPr>
          <w:p w14:paraId="4AE4E1CE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Муниципальный конкурс «Безопасная дорога –детям!»</w:t>
            </w:r>
          </w:p>
        </w:tc>
        <w:tc>
          <w:tcPr>
            <w:tcW w:w="2327" w:type="dxa"/>
          </w:tcPr>
          <w:p w14:paraId="3087A03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Мустафина Э.Р.</w:t>
            </w:r>
          </w:p>
        </w:tc>
        <w:tc>
          <w:tcPr>
            <w:tcW w:w="2387" w:type="dxa"/>
          </w:tcPr>
          <w:p w14:paraId="1B11C22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Призер 1место</w:t>
            </w:r>
          </w:p>
        </w:tc>
      </w:tr>
      <w:tr w14:paraId="1BEFC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D1EC6AC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</w:t>
            </w:r>
          </w:p>
        </w:tc>
        <w:tc>
          <w:tcPr>
            <w:tcW w:w="3854" w:type="dxa"/>
          </w:tcPr>
          <w:p w14:paraId="256221A4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Региональный конкурс «Мой Татарстан»</w:t>
            </w:r>
          </w:p>
        </w:tc>
        <w:tc>
          <w:tcPr>
            <w:tcW w:w="2327" w:type="dxa"/>
          </w:tcPr>
          <w:p w14:paraId="3179E94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Малышева Л.А.</w:t>
            </w:r>
          </w:p>
        </w:tc>
        <w:tc>
          <w:tcPr>
            <w:tcW w:w="2387" w:type="dxa"/>
          </w:tcPr>
          <w:p w14:paraId="7A934BB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Диплом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степени</w:t>
            </w:r>
          </w:p>
        </w:tc>
      </w:tr>
      <w:tr w14:paraId="74B4D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6AD1073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</w:t>
            </w:r>
          </w:p>
        </w:tc>
        <w:tc>
          <w:tcPr>
            <w:tcW w:w="3854" w:type="dxa"/>
          </w:tcPr>
          <w:p w14:paraId="61112E64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международного литературного конкурса чтецов «Джалиловские чтения»</w:t>
            </w:r>
          </w:p>
        </w:tc>
        <w:tc>
          <w:tcPr>
            <w:tcW w:w="2327" w:type="dxa"/>
          </w:tcPr>
          <w:p w14:paraId="7D547DC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Гайсина Э.Г.</w:t>
            </w:r>
          </w:p>
        </w:tc>
        <w:tc>
          <w:tcPr>
            <w:tcW w:w="2387" w:type="dxa"/>
          </w:tcPr>
          <w:p w14:paraId="561D8B2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Участник</w:t>
            </w:r>
          </w:p>
        </w:tc>
      </w:tr>
      <w:tr w14:paraId="52639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CC3DFA1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</w:t>
            </w:r>
          </w:p>
        </w:tc>
        <w:tc>
          <w:tcPr>
            <w:tcW w:w="3854" w:type="dxa"/>
          </w:tcPr>
          <w:p w14:paraId="092FDED4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Муниципальный этап фестиваля «Саяр»</w:t>
            </w:r>
          </w:p>
        </w:tc>
        <w:tc>
          <w:tcPr>
            <w:tcW w:w="2327" w:type="dxa"/>
          </w:tcPr>
          <w:p w14:paraId="768EB11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Гайсина Э.Г.</w:t>
            </w:r>
          </w:p>
        </w:tc>
        <w:tc>
          <w:tcPr>
            <w:tcW w:w="2387" w:type="dxa"/>
          </w:tcPr>
          <w:p w14:paraId="02B52BC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Призер (3 место)</w:t>
            </w:r>
          </w:p>
        </w:tc>
      </w:tr>
      <w:tr w14:paraId="34548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B657B48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</w:t>
            </w:r>
          </w:p>
        </w:tc>
        <w:tc>
          <w:tcPr>
            <w:tcW w:w="3854" w:type="dxa"/>
          </w:tcPr>
          <w:p w14:paraId="2877FF63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Муниципальный конкурс «Этноколлекция сказок народов Поволжья» </w:t>
            </w:r>
          </w:p>
        </w:tc>
        <w:tc>
          <w:tcPr>
            <w:tcW w:w="2327" w:type="dxa"/>
          </w:tcPr>
          <w:p w14:paraId="25DAE24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Мустафина Э.Р.</w:t>
            </w:r>
          </w:p>
        </w:tc>
        <w:tc>
          <w:tcPr>
            <w:tcW w:w="2387" w:type="dxa"/>
          </w:tcPr>
          <w:p w14:paraId="02BD396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Сертификат</w:t>
            </w:r>
          </w:p>
        </w:tc>
      </w:tr>
      <w:tr w14:paraId="78FF4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169DFA0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</w:t>
            </w:r>
          </w:p>
        </w:tc>
        <w:tc>
          <w:tcPr>
            <w:tcW w:w="3854" w:type="dxa"/>
          </w:tcPr>
          <w:p w14:paraId="53E051F8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конкурс «Жизнь в безопасности!»</w:t>
            </w:r>
          </w:p>
        </w:tc>
        <w:tc>
          <w:tcPr>
            <w:tcW w:w="2327" w:type="dxa"/>
          </w:tcPr>
          <w:p w14:paraId="19A894C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Мустафина Э.Р.</w:t>
            </w:r>
          </w:p>
        </w:tc>
        <w:tc>
          <w:tcPr>
            <w:tcW w:w="2387" w:type="dxa"/>
          </w:tcPr>
          <w:p w14:paraId="24E168C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Диплом 1 место</w:t>
            </w:r>
          </w:p>
        </w:tc>
      </w:tr>
      <w:tr w14:paraId="3F2F2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5CA33C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8.</w:t>
            </w:r>
          </w:p>
        </w:tc>
        <w:tc>
          <w:tcPr>
            <w:tcW w:w="3854" w:type="dxa"/>
          </w:tcPr>
          <w:p w14:paraId="5A3478FF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конкурс «Весна шагает быстрыми шагами!»</w:t>
            </w:r>
          </w:p>
        </w:tc>
        <w:tc>
          <w:tcPr>
            <w:tcW w:w="2327" w:type="dxa"/>
          </w:tcPr>
          <w:p w14:paraId="3904CB9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Мустафина Э.Р..</w:t>
            </w:r>
          </w:p>
        </w:tc>
        <w:tc>
          <w:tcPr>
            <w:tcW w:w="2387" w:type="dxa"/>
          </w:tcPr>
          <w:p w14:paraId="0EFDAB4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Диплом 1 место</w:t>
            </w:r>
          </w:p>
        </w:tc>
      </w:tr>
      <w:tr w14:paraId="37227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CD9C26E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</w:t>
            </w:r>
          </w:p>
        </w:tc>
        <w:tc>
          <w:tcPr>
            <w:tcW w:w="3854" w:type="dxa"/>
          </w:tcPr>
          <w:p w14:paraId="7F05505E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конкурс «Масленица шумная-праздник удалой!»</w:t>
            </w:r>
          </w:p>
        </w:tc>
        <w:tc>
          <w:tcPr>
            <w:tcW w:w="2327" w:type="dxa"/>
          </w:tcPr>
          <w:p w14:paraId="2D0F6CD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Мустафина Э.Р.</w:t>
            </w:r>
          </w:p>
        </w:tc>
        <w:tc>
          <w:tcPr>
            <w:tcW w:w="2387" w:type="dxa"/>
          </w:tcPr>
          <w:p w14:paraId="147CAB9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Диплом 1 место</w:t>
            </w:r>
          </w:p>
        </w:tc>
      </w:tr>
      <w:tr w14:paraId="1EEDB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1B73CDE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54" w:type="dxa"/>
          </w:tcPr>
          <w:p w14:paraId="46B1FBE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конкурс «Чтобы в спорте первым быть надо спорт любить!»</w:t>
            </w:r>
          </w:p>
        </w:tc>
        <w:tc>
          <w:tcPr>
            <w:tcW w:w="2327" w:type="dxa"/>
          </w:tcPr>
          <w:p w14:paraId="262DF1F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Мустафина Э.Р.. </w:t>
            </w:r>
          </w:p>
        </w:tc>
        <w:tc>
          <w:tcPr>
            <w:tcW w:w="2387" w:type="dxa"/>
          </w:tcPr>
          <w:p w14:paraId="1A860E4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Диплом 1 место</w:t>
            </w:r>
          </w:p>
        </w:tc>
      </w:tr>
      <w:tr w14:paraId="53945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DA72CDB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54" w:type="dxa"/>
          </w:tcPr>
          <w:p w14:paraId="73F38EE9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конкурс «И смех и счастье рядом!»</w:t>
            </w:r>
          </w:p>
        </w:tc>
        <w:tc>
          <w:tcPr>
            <w:tcW w:w="2327" w:type="dxa"/>
          </w:tcPr>
          <w:p w14:paraId="4DC78CA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Мустафина Э.Р..</w:t>
            </w:r>
          </w:p>
        </w:tc>
        <w:tc>
          <w:tcPr>
            <w:tcW w:w="2387" w:type="dxa"/>
          </w:tcPr>
          <w:p w14:paraId="176E7AD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Диплом 1 место</w:t>
            </w:r>
          </w:p>
        </w:tc>
      </w:tr>
      <w:tr w14:paraId="37010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5B314FF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54" w:type="dxa"/>
          </w:tcPr>
          <w:p w14:paraId="061DE3BC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конкурс «Космос это здорово!»</w:t>
            </w:r>
          </w:p>
        </w:tc>
        <w:tc>
          <w:tcPr>
            <w:tcW w:w="2327" w:type="dxa"/>
          </w:tcPr>
          <w:p w14:paraId="4FEA0BA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Мустафина Э.Р..</w:t>
            </w:r>
          </w:p>
        </w:tc>
        <w:tc>
          <w:tcPr>
            <w:tcW w:w="2387" w:type="dxa"/>
          </w:tcPr>
          <w:p w14:paraId="5D38C44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Диплом 1 место</w:t>
            </w:r>
          </w:p>
        </w:tc>
      </w:tr>
      <w:tr w14:paraId="2951E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2F8635A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54" w:type="dxa"/>
          </w:tcPr>
          <w:p w14:paraId="2962AC3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конкурс «Праздник весны и труда!»</w:t>
            </w:r>
          </w:p>
        </w:tc>
        <w:tc>
          <w:tcPr>
            <w:tcW w:w="2327" w:type="dxa"/>
          </w:tcPr>
          <w:p w14:paraId="615591C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Мустафина Э.Р..</w:t>
            </w:r>
          </w:p>
        </w:tc>
        <w:tc>
          <w:tcPr>
            <w:tcW w:w="2387" w:type="dxa"/>
          </w:tcPr>
          <w:p w14:paraId="0C0CA40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Диплом 1 место</w:t>
            </w:r>
          </w:p>
        </w:tc>
      </w:tr>
      <w:tr w14:paraId="1F899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5913B3A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54" w:type="dxa"/>
          </w:tcPr>
          <w:p w14:paraId="124185E5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Республиканский творческий конкурс по произведениям Г.Тукая</w:t>
            </w:r>
          </w:p>
        </w:tc>
        <w:tc>
          <w:tcPr>
            <w:tcW w:w="2327" w:type="dxa"/>
          </w:tcPr>
          <w:p w14:paraId="38F5631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Мустафина Э.Р..</w:t>
            </w:r>
          </w:p>
        </w:tc>
        <w:tc>
          <w:tcPr>
            <w:tcW w:w="2387" w:type="dxa"/>
          </w:tcPr>
          <w:p w14:paraId="0E56304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Диплом 3 место</w:t>
            </w:r>
          </w:p>
        </w:tc>
      </w:tr>
      <w:tr w14:paraId="2292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AD0DBAA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54" w:type="dxa"/>
          </w:tcPr>
          <w:p w14:paraId="6B723573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Республиканский творческий конкурс по произведениям Г.Тукая</w:t>
            </w:r>
          </w:p>
        </w:tc>
        <w:tc>
          <w:tcPr>
            <w:tcW w:w="2327" w:type="dxa"/>
          </w:tcPr>
          <w:p w14:paraId="1F6D077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Мустафина Э.Р..</w:t>
            </w:r>
          </w:p>
        </w:tc>
        <w:tc>
          <w:tcPr>
            <w:tcW w:w="2387" w:type="dxa"/>
          </w:tcPr>
          <w:p w14:paraId="4CFFA85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Участник</w:t>
            </w:r>
          </w:p>
        </w:tc>
      </w:tr>
      <w:tr w14:paraId="7DBA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D320F60">
            <w:pPr>
              <w:tabs>
                <w:tab w:val="left" w:pos="268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54" w:type="dxa"/>
          </w:tcPr>
          <w:p w14:paraId="7EA3819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конкурс «Краски Осени!»</w:t>
            </w:r>
          </w:p>
        </w:tc>
        <w:tc>
          <w:tcPr>
            <w:tcW w:w="2327" w:type="dxa"/>
          </w:tcPr>
          <w:p w14:paraId="08702C6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Мустафина Э.Р..</w:t>
            </w:r>
          </w:p>
        </w:tc>
        <w:tc>
          <w:tcPr>
            <w:tcW w:w="2387" w:type="dxa"/>
          </w:tcPr>
          <w:p w14:paraId="321C948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Диплом</w:t>
            </w:r>
          </w:p>
        </w:tc>
      </w:tr>
    </w:tbl>
    <w:p w14:paraId="042CCCE0">
      <w:pPr>
        <w:tabs>
          <w:tab w:val="left" w:pos="2685"/>
        </w:tabs>
        <w:rPr>
          <w:rFonts w:ascii="Times New Roman" w:hAnsi="Times New Roman" w:eastAsia="Times New Roman" w:cs="Times New Roman"/>
          <w:sz w:val="24"/>
          <w:szCs w:val="24"/>
        </w:rPr>
      </w:pPr>
    </w:p>
    <w:p w14:paraId="1337DF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Вывод: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Профессиональный рост и активную позицию педагогов по распространению профессионального опыта  доказывают результаты участия в конкурсах различного уровня. </w:t>
      </w:r>
    </w:p>
    <w:p w14:paraId="438C05C2">
      <w:pPr>
        <w:tabs>
          <w:tab w:val="left" w:pos="2685"/>
          <w:tab w:val="left" w:pos="4215"/>
        </w:tabs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В сравнении с 202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4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годом, в 202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5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году охват  участия педагогов в  конкурсах, количество победителей, призеров и лауреатов осталось на прежнем уровне.  Педагоги активно участвовали в работе ресурсных центров, выходили с выступлениями и мастер-классами. Таким образом, на следующий учебный год планируется продолжить работу по привлечению педагогов к активному участию в работе ресурсных центров и в конкурсов.</w:t>
      </w:r>
    </w:p>
    <w:p w14:paraId="1F2D5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307F05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1EE2A0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VI. Оценка учебно-методического  обеспечения</w:t>
      </w:r>
    </w:p>
    <w:p w14:paraId="48A57F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Библиотечный фонд представлен методической литературой по всем образовательным областям основной общеобразовательной программы, 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14:paraId="4A83A179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Учебно-методическое обеспечение включает в себя  программы, методические пособия, дидактический материал:</w:t>
      </w:r>
    </w:p>
    <w:p w14:paraId="37011E90">
      <w:pPr>
        <w:tabs>
          <w:tab w:val="left" w:pos="360"/>
          <w:tab w:val="left" w:pos="709"/>
        </w:tabs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- </w:t>
      </w:r>
      <w:r>
        <w:rPr>
          <w:rFonts w:ascii="Times New Roman" w:hAnsi="Times New Roman" w:eastAsia="Calibri" w:cs="Times New Roman"/>
          <w:sz w:val="24"/>
          <w:szCs w:val="24"/>
        </w:rPr>
        <w:t>Региональная программа дошкольного образования, под ред.  Р.К.Шаехова</w:t>
      </w:r>
      <w:r>
        <w:rPr>
          <w:rFonts w:ascii="Times New Roman" w:hAnsi="Times New Roman" w:eastAsia="Calibri" w:cs="Times New Roman"/>
          <w:b/>
          <w:sz w:val="24"/>
          <w:szCs w:val="24"/>
        </w:rPr>
        <w:t>.</w:t>
      </w:r>
    </w:p>
    <w:p w14:paraId="119800E1">
      <w:pPr>
        <w:tabs>
          <w:tab w:val="left" w:pos="360"/>
          <w:tab w:val="left" w:pos="709"/>
        </w:tabs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-Примерная общеобразовательная программа «От рождения до школы»Под редакцией Н.Е. Вераксы, М.А. Васильевой, Т.С. Комаровой.</w:t>
      </w:r>
    </w:p>
    <w:p w14:paraId="378A7AD0">
      <w:pPr>
        <w:tabs>
          <w:tab w:val="left" w:pos="360"/>
          <w:tab w:val="left" w:pos="709"/>
        </w:tabs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-Обучение русскоязычных детей татарскому языку – УМК для детей 4-7 лет “Татарчасөйләшәбез” (Говорим по татарски), Зарипова З.М., Кидрячева Р.Г., Исаева Р. С.и др.</w:t>
      </w:r>
    </w:p>
    <w:p w14:paraId="4076F2F2"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-Ознакомление с художественной литературой - Хрестоматия для детей 2-7 лет “Балачак аланы” (На поляне детства) Закирова К.В.</w:t>
      </w:r>
    </w:p>
    <w:p w14:paraId="671EADDD"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-«Наш дом- природа» Н.А.Рыжовой</w:t>
      </w:r>
    </w:p>
    <w:p w14:paraId="39DC0903"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Учебное пособие «Обучение детей правилам дорожного движения»</w:t>
      </w:r>
    </w:p>
    <w:p w14:paraId="5B69A53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 «От рождения до школы», под ред. Н. Е. Вераксы, Т. С. Комаровой, М. А. Васильевой, </w:t>
      </w:r>
    </w:p>
    <w:p w14:paraId="5D8F344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Р.К.Шаехова,  «Региональная образовательная программа дошкольного образования», «</w:t>
      </w:r>
      <w:r>
        <w:rPr>
          <w:rFonts w:ascii="Times New Roman" w:hAnsi="Times New Roman" w:eastAsia="Calibri" w:cs="Times New Roman"/>
          <w:sz w:val="24"/>
          <w:szCs w:val="24"/>
          <w:lang w:val="tt-RU" w:eastAsia="ru-RU"/>
        </w:rPr>
        <w:t>Сөенеч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» - «Радость познания»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Казань, 2016 г.</w:t>
      </w:r>
    </w:p>
    <w:p w14:paraId="29ACDA7E">
      <w:pPr>
        <w:spacing w:after="0" w:line="240" w:lineRule="auto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З.М.Зарипова, Программа «Обучение русскоязычных детей татарскому языку в детском саду»,  Казань, 2013.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</w:p>
    <w:p w14:paraId="343070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D414B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Вывод: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Оборудование и оснащение методического кабинета достаточно для реализации образовательных программ. В детском саду учебно-методическое обеспечение  достаточное для организации образовательной деятельности и эффективной реализации как основных так и дополнительных  образовательных программ.</w:t>
      </w:r>
    </w:p>
    <w:p w14:paraId="236B9D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323FAC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VII. Оценка материально-технической базы</w:t>
      </w:r>
    </w:p>
    <w:p w14:paraId="6ED8E8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</w:p>
    <w:p w14:paraId="6178857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детском саду имеются: групповые помещения – 2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;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кабинет  заведующего  - 1;музыкально- физкультурный зал-1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спальная комната для детей  от  1,5 до 3 лет, санузел  для детей младшего возраста;спальная комната  для детей  от 3 до 7 лет; раздаточная -1;прачечная – 1;гладильная-1;санузел для детей от 3до 7 лет. </w:t>
      </w:r>
      <w:r>
        <w:rPr>
          <w:rFonts w:ascii="Times New Roman" w:hAnsi="Times New Roman" w:eastAsia="Times New Roman" w:cs="Times New Roman"/>
          <w:sz w:val="24"/>
          <w:szCs w:val="24"/>
        </w:rPr>
        <w:t>Наличие доступа к сети интернет, мультимедийного оборудования (1шт.) множительной техники(1шт.), персональных компьютеров и ноутбуков (3 шт.)  позволяют совершенствовать воспитательно-образовательный процесс.</w:t>
      </w:r>
    </w:p>
    <w:p w14:paraId="78B2E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104CAB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 безопасности, требованиям охраны труда. </w:t>
      </w:r>
    </w:p>
    <w:p w14:paraId="15DD60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C93DA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864C4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Вывод: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Анализ показателей указывает на то, что Детский сад имеет достаточную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инфраструктуру, которая соответствует требованиям </w:t>
      </w:r>
      <w:r>
        <w:fldChar w:fldCharType="begin"/>
      </w:r>
      <w:r>
        <w:instrText xml:space="preserve"> HYPERLINK "https://vip.1obraz.ru/" \l "/document/99/566276706/"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СанПиН 2.3/2.4.3590-20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«Санитарно-эпидемиологические требования к устройству, содержанию и организации </w:t>
      </w:r>
    </w:p>
    <w:p w14:paraId="77DC1D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режима работы дошкольных образовательных организаций» и позволяет реализовывать образовательные программы в полном объеме в соответствии с ФГОС ДО. Предметная  среда  всех  помещений  оптимально  насыщена, выдержана  мера «необходимого  и достаточного» для  каждого  вида деятельности, представляет  собой  «поисковое поле» для ребенка, стимулирующее процесс его  развития и саморазвития, социализации.</w:t>
      </w:r>
    </w:p>
    <w:p w14:paraId="26EB9E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VI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. Оценка   библиотечно-информационного обеспечения</w:t>
      </w:r>
    </w:p>
    <w:p w14:paraId="2EE2B8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детском саду </w:t>
      </w:r>
      <w:r>
        <w:fldChar w:fldCharType="begin"/>
      </w:r>
      <w:r>
        <w:instrText xml:space="preserve"> HYPERLINK "https://edu.tatar.ru/chistopol/dou14_podsolnushek/page1189581.htm" </w:instrText>
      </w:r>
      <w:r>
        <w:fldChar w:fldCharType="separate"/>
      </w:r>
      <w:r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  <w:t>библиотека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  <w:fldChar w:fldCharType="end"/>
      </w:r>
      <w: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является составной частью методической службы. Библиотечный фонд располагается в группах детского сада. Библиотечный фонд представлен 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B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информационное обеспечение детского сада включает: проекторы мультимедиа, интернет -ресурсы, фото-, видеоматериалы.</w:t>
      </w:r>
    </w:p>
    <w:p w14:paraId="2CC6E0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Вывод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В детском саду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библиотечно-информационного обеспечения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достаточное для организации воспитательно-образовательной деятельности .</w:t>
      </w:r>
    </w:p>
    <w:p w14:paraId="536B6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71311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D2A95D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672AFB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Заключение: </w:t>
      </w:r>
    </w:p>
    <w:p w14:paraId="2EEED28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Построение работы МБДОУ «Лучовский детский сад» в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году осуществлялось  в соответствии с нормативными документами. В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году системно и планомерно проводилась деятельность по созданию благоприятных условий для полноценного проживания ребенком дошкольного детства, формированию основ базовой культуры личности, всестороннему развитию психических и физических качеств в соответствии с возрастными и индивидуальными особенностями ребёнка, подготовке ребенка к жизни в современном обществе. </w:t>
      </w:r>
    </w:p>
    <w:p w14:paraId="3A051CD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году регулярно совершенствовались здоровьеформирующие условия в ДОУ; организовывалась работа по повышению компетентности педагогов в речевом развитии воспитанников, в организации качественной образовательной деятельности с воспитанниками, создании этнокультурной среды и обучению детей татарскому языку; уделялось особое внимание организации современных подходов через включение родителей в воспитательно-образовательный процесс дошкольного учреждения.</w:t>
      </w:r>
    </w:p>
    <w:p w14:paraId="6C0BE095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Дошкольное образовательное учреждение не останавливается на достигнутом и ставит перед собой  новые задачи:</w:t>
      </w:r>
    </w:p>
    <w:p w14:paraId="101EB023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приобретение программно-методического комплекта и методической базы к комплексной образовательной программе дошкольного образования «Мир открытий»; планирование и реализация новой образовательной программы ДОУ и осуществление образовательной деятельности на основе системы дидактических принципов деятельностного метода. </w:t>
      </w:r>
    </w:p>
    <w:p w14:paraId="7347E86C">
      <w:pPr>
        <w:pStyle w:val="10"/>
        <w:spacing w:before="0" w:beforeAutospacing="0" w:after="0" w:afterAutospacing="0"/>
        <w:jc w:val="both"/>
      </w:pPr>
      <w:r>
        <w:rPr>
          <w:rFonts w:eastAsiaTheme="minorEastAsia"/>
          <w:kern w:val="24"/>
        </w:rPr>
        <w:t xml:space="preserve"> Запланированная воспитательно-образовательная работа на 202</w:t>
      </w:r>
      <w:r>
        <w:rPr>
          <w:rFonts w:hint="default" w:eastAsiaTheme="minorEastAsia"/>
          <w:kern w:val="24"/>
          <w:lang w:val="ru-RU"/>
        </w:rPr>
        <w:t>5</w:t>
      </w:r>
      <w:r>
        <w:rPr>
          <w:rFonts w:eastAsiaTheme="minorEastAsia"/>
          <w:kern w:val="24"/>
        </w:rPr>
        <w:t xml:space="preserve"> год выполнена в полном объеме. Материально-техническая база, соответствует санитарно-гигиеническим требованиям.</w:t>
      </w:r>
    </w:p>
    <w:p w14:paraId="6FD4D5FB">
      <w:pPr>
        <w:pStyle w:val="10"/>
        <w:spacing w:before="0" w:beforeAutospacing="0" w:after="0" w:afterAutospacing="0"/>
        <w:jc w:val="both"/>
        <w:rPr>
          <w:rFonts w:eastAsiaTheme="minorEastAsia"/>
          <w:kern w:val="24"/>
        </w:rPr>
      </w:pPr>
      <w:r>
        <w:rPr>
          <w:rFonts w:eastAsiaTheme="minorEastAsia"/>
          <w:kern w:val="24"/>
        </w:rPr>
        <w:t>Уровень готовности выпускников к обучению в школе – выше среднего.</w:t>
      </w:r>
    </w:p>
    <w:p w14:paraId="33EE4065">
      <w:pPr>
        <w:pStyle w:val="10"/>
        <w:spacing w:before="0" w:beforeAutospacing="0" w:after="0" w:afterAutospacing="0"/>
        <w:jc w:val="both"/>
      </w:pPr>
      <w:r>
        <w:rPr>
          <w:rFonts w:eastAsiaTheme="minorEastAsia"/>
          <w:kern w:val="24"/>
        </w:rPr>
        <w:t>Обеспечение повышения квалификации и образования педагогов в соответствии с «Профессиональным стандартом педагога».</w:t>
      </w:r>
    </w:p>
    <w:p w14:paraId="25015C04">
      <w:pPr>
        <w:pStyle w:val="10"/>
        <w:spacing w:before="0" w:beforeAutospacing="0" w:after="0" w:afterAutospacing="0"/>
        <w:jc w:val="both"/>
      </w:pPr>
      <w:r>
        <w:rPr>
          <w:rFonts w:eastAsiaTheme="minorEastAsia"/>
          <w:kern w:val="24"/>
        </w:rPr>
        <w:t>Расширение и укрепление работы с родительской общественностью.</w:t>
      </w:r>
    </w:p>
    <w:p w14:paraId="42186910">
      <w:pPr>
        <w:pStyle w:val="10"/>
        <w:spacing w:before="0" w:beforeAutospacing="0" w:after="0" w:afterAutospacing="0"/>
        <w:jc w:val="both"/>
      </w:pPr>
      <w:r>
        <w:rPr>
          <w:rFonts w:eastAsiaTheme="minorEastAsia"/>
          <w:kern w:val="24"/>
        </w:rPr>
        <w:t>Внедрение в работу с детьми современных образовательных технологий.</w:t>
      </w:r>
    </w:p>
    <w:p w14:paraId="65E1057F">
      <w:pPr>
        <w:spacing w:line="240" w:lineRule="auto"/>
        <w:jc w:val="both"/>
        <w:rPr>
          <w:rFonts w:ascii="Times New Roman" w:hAnsi="Times New Roman" w:cs="Times New Roman" w:eastAsiaTheme="minorEastAsia"/>
          <w:color w:val="002060"/>
          <w:kern w:val="24"/>
          <w:sz w:val="24"/>
          <w:szCs w:val="24"/>
        </w:rPr>
      </w:pPr>
      <w:r>
        <w:rPr>
          <w:rFonts w:ascii="Times New Roman" w:hAnsi="Times New Roman" w:cs="Times New Roman" w:eastAsiaTheme="minorEastAsia"/>
          <w:kern w:val="24"/>
          <w:sz w:val="24"/>
          <w:szCs w:val="24"/>
        </w:rPr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</w:t>
      </w:r>
      <w:r>
        <w:rPr>
          <w:rFonts w:ascii="Times New Roman" w:hAnsi="Times New Roman" w:cs="Times New Roman" w:eastAsiaTheme="minorEastAsia"/>
          <w:color w:val="002060"/>
          <w:kern w:val="24"/>
          <w:sz w:val="24"/>
          <w:szCs w:val="24"/>
        </w:rPr>
        <w:t>и.</w:t>
      </w:r>
    </w:p>
    <w:p w14:paraId="3A6E7E17">
      <w:pPr>
        <w:spacing w:line="240" w:lineRule="auto"/>
        <w:jc w:val="both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color w:val="002060"/>
          <w:kern w:val="24"/>
          <w:sz w:val="24"/>
          <w:szCs w:val="24"/>
        </w:rPr>
        <w:t xml:space="preserve">   </w:t>
      </w:r>
      <w:r>
        <w:rPr>
          <w:rFonts w:ascii="Times New Roman" w:hAnsi="Times New Roman" w:cs="Times New Roman" w:eastAsiaTheme="minorEastAsia"/>
          <w:kern w:val="24"/>
          <w:sz w:val="24"/>
          <w:szCs w:val="24"/>
        </w:rPr>
        <w:t>В 202</w:t>
      </w:r>
      <w:r>
        <w:rPr>
          <w:rFonts w:hint="default" w:ascii="Times New Roman" w:hAnsi="Times New Roman" w:cs="Times New Roman" w:eastAsiaTheme="minorEastAsia"/>
          <w:kern w:val="24"/>
          <w:sz w:val="24"/>
          <w:szCs w:val="24"/>
          <w:lang w:val="ru-RU"/>
        </w:rPr>
        <w:t>5</w:t>
      </w:r>
      <w:r>
        <w:rPr>
          <w:rFonts w:ascii="Times New Roman" w:hAnsi="Times New Roman" w:cs="Times New Roman" w:eastAsiaTheme="minorEastAsia"/>
          <w:kern w:val="24"/>
          <w:sz w:val="24"/>
          <w:szCs w:val="24"/>
        </w:rPr>
        <w:t>г. ведется документооборот, госсимволика, учет профилактики.</w:t>
      </w:r>
    </w:p>
    <w:p w14:paraId="3280143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577324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CA5FFB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0FF8FF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EF4AB2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Показатели деятельности организации и их анализ</w:t>
      </w:r>
    </w:p>
    <w:p w14:paraId="402D82F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(Согласно Приложению №1 к приказу МО и Н РФ от 10.12.2013г. № 1324)</w:t>
      </w:r>
    </w:p>
    <w:p w14:paraId="1020EE9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Данные приведены по состоянию на 31.12.202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</w:t>
      </w:r>
    </w:p>
    <w:p w14:paraId="1BB87CA8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3"/>
        <w:tblW w:w="9585" w:type="dxa"/>
        <w:tblInd w:w="0" w:type="dxa"/>
        <w:tblBorders>
          <w:top w:val="single" w:color="888888" w:sz="6" w:space="0"/>
          <w:left w:val="single" w:color="888888" w:sz="6" w:space="0"/>
          <w:bottom w:val="single" w:color="888888" w:sz="6" w:space="0"/>
          <w:right w:val="single" w:color="888888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6774"/>
        <w:gridCol w:w="1971"/>
      </w:tblGrid>
      <w:tr w14:paraId="545C3A03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5DD4BC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F36598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29EC4B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14:paraId="690EA43B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5A3FA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EB76F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8F2512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79D9AFF3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AAFF0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8CF1A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23DFB3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14:paraId="5292DDD9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D7FBF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E410B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F55A0F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14:paraId="1D76434D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B4491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A89686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E0BE5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746A2311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DF498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AE2FD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F420E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04393966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D51DB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FD6CF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63BA9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01881CAA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17B59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831F2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D010F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14:paraId="58E8E449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E60B5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D0EA8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22A40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14:paraId="318C8C5C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0ACEB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5FAA8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30FFC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3D69DBFD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D0F7D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746BC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DA7C73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14:paraId="1EE1113D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0B729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C7451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043E0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44F9464F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85713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D049D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5DA48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6ACE6383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0AFBD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64636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B4771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6724D83C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176000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45726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96647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79876132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23CF4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42846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1D184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2EF3463E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A66607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493E9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5482A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71CC0536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751476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86D06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D7A046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2,8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14:paraId="56377A53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D6AE8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73C70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ED06A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 человек</w:t>
            </w:r>
          </w:p>
        </w:tc>
      </w:tr>
      <w:tr w14:paraId="7A4373E7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B7ACA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E9FFD6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82493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 человек/100%</w:t>
            </w:r>
          </w:p>
        </w:tc>
      </w:tr>
      <w:tr w14:paraId="70F6E6B5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8EA6A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7277AE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3764B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3человек/100%</w:t>
            </w:r>
          </w:p>
        </w:tc>
      </w:tr>
      <w:tr w14:paraId="0DF27E0F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C01E3D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0174F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6B7B3B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 человек/100%</w:t>
            </w:r>
          </w:p>
        </w:tc>
      </w:tr>
      <w:tr w14:paraId="66C9A213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1B713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F740C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F03BA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 человек/100%</w:t>
            </w:r>
          </w:p>
        </w:tc>
      </w:tr>
      <w:tr w14:paraId="25E06E06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59134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A55538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F4336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 человека 100%</w:t>
            </w:r>
          </w:p>
        </w:tc>
      </w:tr>
      <w:tr w14:paraId="665F04E8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8FF21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29789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47D88E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14:paraId="3B53C26C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CE09D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10CC5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4AEFEE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 человека /100%</w:t>
            </w:r>
          </w:p>
        </w:tc>
      </w:tr>
      <w:tr w14:paraId="72CB0409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2CFAE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506187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7CD7B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5D62380F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A3459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8F239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07A5E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66C2C050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36B05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78370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2CFBC4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6B55FB2F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4AFC7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D4A62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D43B4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6514743A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FECF2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E5345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411EB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14:paraId="407E3F9E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DF25D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79DCF5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FE954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 человек /100%</w:t>
            </w:r>
          </w:p>
        </w:tc>
      </w:tr>
      <w:tr w14:paraId="02E1112C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BDB02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A577F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43514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 человек /100%</w:t>
            </w:r>
          </w:p>
        </w:tc>
      </w:tr>
      <w:tr w14:paraId="43C0B89A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12146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5206C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F49EC7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 человек /20 ребенок</w:t>
            </w:r>
          </w:p>
        </w:tc>
      </w:tr>
      <w:tr w14:paraId="6518CDE8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4BB49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32556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639E6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14:paraId="6FDA109E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1B39B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D85CE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70118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19961A7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18B8D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F01F2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1551D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370AF1E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63DF9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116E0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6CDE3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C9796E8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5A4B0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D97FA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462C4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4979D37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ABEB7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2834A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22901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81B8A78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EC4053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2E8CA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D16E8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F721A59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96C31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1E2AC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50D47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658735A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EA28A4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FA260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28D63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20,32 кв.м.</w:t>
            </w:r>
          </w:p>
        </w:tc>
      </w:tr>
      <w:tr w14:paraId="6DAB6C5C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CAA2D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3FA55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F7D70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189 кв.м.</w:t>
            </w:r>
          </w:p>
        </w:tc>
      </w:tr>
      <w:tr w14:paraId="7B9EAC71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D2627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6DE6E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Наличие музыкально-физкультурного зала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98D76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14:paraId="369DE5A5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5112F9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E1C74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42951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1C8F42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9EF1183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4999BE6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B669B65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8147B8F">
      <w:pPr>
        <w:spacing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26574260">
      <w:pPr>
        <w:spacing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3CF30D1F">
      <w:pPr>
        <w:spacing w:line="240" w:lineRule="auto"/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</w:p>
    <w:p w14:paraId="723F722B"/>
    <w:p w14:paraId="749FD302"/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2325173"/>
      <w:docPartObj>
        <w:docPartGallery w:val="AutoText"/>
      </w:docPartObj>
    </w:sdtPr>
    <w:sdtContent>
      <w:p w14:paraId="3FF38F93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0B1DBEDA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8551D2"/>
    <w:multiLevelType w:val="multilevel"/>
    <w:tmpl w:val="1C8551D2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1">
    <w:nsid w:val="5D7E6F29"/>
    <w:multiLevelType w:val="multilevel"/>
    <w:tmpl w:val="5D7E6F29"/>
    <w:lvl w:ilvl="0" w:tentative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</w:rPr>
    </w:lvl>
    <w:lvl w:ilvl="1" w:tentative="0">
      <w:start w:val="1"/>
      <w:numFmt w:val="decimal"/>
      <w:isLgl/>
      <w:lvlText w:val="%1.%2."/>
      <w:lvlJc w:val="left"/>
      <w:pPr>
        <w:ind w:left="1260" w:hanging="420"/>
      </w:pPr>
      <w:rPr>
        <w:rFonts w:hint="default" w:eastAsia="Times New Roman"/>
      </w:rPr>
    </w:lvl>
    <w:lvl w:ilvl="2" w:tentative="0">
      <w:start w:val="1"/>
      <w:numFmt w:val="decimal"/>
      <w:isLgl/>
      <w:lvlText w:val="%1.%2.%3."/>
      <w:lvlJc w:val="left"/>
      <w:pPr>
        <w:ind w:left="2040" w:hanging="720"/>
      </w:pPr>
      <w:rPr>
        <w:rFonts w:hint="default" w:eastAsia="Times New Roman"/>
      </w:rPr>
    </w:lvl>
    <w:lvl w:ilvl="3" w:tentative="0">
      <w:start w:val="1"/>
      <w:numFmt w:val="decimal"/>
      <w:isLgl/>
      <w:lvlText w:val="%1.%2.%3.%4."/>
      <w:lvlJc w:val="left"/>
      <w:pPr>
        <w:ind w:left="2520" w:hanging="720"/>
      </w:pPr>
      <w:rPr>
        <w:rFonts w:hint="default" w:eastAsia="Times New Roman"/>
      </w:rPr>
    </w:lvl>
    <w:lvl w:ilvl="4" w:tentative="0">
      <w:start w:val="1"/>
      <w:numFmt w:val="decimal"/>
      <w:isLgl/>
      <w:lvlText w:val="%1.%2.%3.%4.%5."/>
      <w:lvlJc w:val="left"/>
      <w:pPr>
        <w:ind w:left="3360" w:hanging="1080"/>
      </w:pPr>
      <w:rPr>
        <w:rFonts w:hint="default" w:eastAsia="Times New Roman"/>
      </w:rPr>
    </w:lvl>
    <w:lvl w:ilvl="5" w:tentative="0">
      <w:start w:val="1"/>
      <w:numFmt w:val="decimal"/>
      <w:isLgl/>
      <w:lvlText w:val="%1.%2.%3.%4.%5.%6."/>
      <w:lvlJc w:val="left"/>
      <w:pPr>
        <w:ind w:left="3840" w:hanging="1080"/>
      </w:pPr>
      <w:rPr>
        <w:rFonts w:hint="default" w:eastAsia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 w:eastAsia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5160" w:hanging="1440"/>
      </w:pPr>
      <w:rPr>
        <w:rFonts w:hint="default" w:eastAsia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6000" w:hanging="1800"/>
      </w:pPr>
      <w:rPr>
        <w:rFonts w:hint="default" w:eastAsia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5171D"/>
    <w:rsid w:val="00030641"/>
    <w:rsid w:val="00062431"/>
    <w:rsid w:val="000901B3"/>
    <w:rsid w:val="00095229"/>
    <w:rsid w:val="000A093F"/>
    <w:rsid w:val="000C7A62"/>
    <w:rsid w:val="001668D3"/>
    <w:rsid w:val="001801EB"/>
    <w:rsid w:val="00186270"/>
    <w:rsid w:val="001912DB"/>
    <w:rsid w:val="001D7799"/>
    <w:rsid w:val="00203931"/>
    <w:rsid w:val="002261CC"/>
    <w:rsid w:val="002407B7"/>
    <w:rsid w:val="00281707"/>
    <w:rsid w:val="002B4EE3"/>
    <w:rsid w:val="002C1EFA"/>
    <w:rsid w:val="002D336D"/>
    <w:rsid w:val="002E05FA"/>
    <w:rsid w:val="00330AA6"/>
    <w:rsid w:val="00352BBB"/>
    <w:rsid w:val="00376F01"/>
    <w:rsid w:val="00386DF0"/>
    <w:rsid w:val="003A118E"/>
    <w:rsid w:val="003B6104"/>
    <w:rsid w:val="003C7C5C"/>
    <w:rsid w:val="00423CA8"/>
    <w:rsid w:val="00464D12"/>
    <w:rsid w:val="00492E19"/>
    <w:rsid w:val="004F563C"/>
    <w:rsid w:val="00523AF5"/>
    <w:rsid w:val="005E5675"/>
    <w:rsid w:val="005F74DE"/>
    <w:rsid w:val="0063553A"/>
    <w:rsid w:val="0066091E"/>
    <w:rsid w:val="006A28B1"/>
    <w:rsid w:val="006A6058"/>
    <w:rsid w:val="006B1F5B"/>
    <w:rsid w:val="006C55A1"/>
    <w:rsid w:val="007064A9"/>
    <w:rsid w:val="0075171D"/>
    <w:rsid w:val="00775042"/>
    <w:rsid w:val="007C5DC6"/>
    <w:rsid w:val="00810AB3"/>
    <w:rsid w:val="00835DE6"/>
    <w:rsid w:val="00842798"/>
    <w:rsid w:val="008817B8"/>
    <w:rsid w:val="00885FFA"/>
    <w:rsid w:val="00895BAF"/>
    <w:rsid w:val="008F2E8F"/>
    <w:rsid w:val="009025BC"/>
    <w:rsid w:val="00911925"/>
    <w:rsid w:val="00914DB2"/>
    <w:rsid w:val="00932D6D"/>
    <w:rsid w:val="00936EA1"/>
    <w:rsid w:val="00944FE8"/>
    <w:rsid w:val="009A4D58"/>
    <w:rsid w:val="009B7CCD"/>
    <w:rsid w:val="00A5110E"/>
    <w:rsid w:val="00AA4294"/>
    <w:rsid w:val="00B73402"/>
    <w:rsid w:val="00C47E3D"/>
    <w:rsid w:val="00C50D3A"/>
    <w:rsid w:val="00C54708"/>
    <w:rsid w:val="00C71D66"/>
    <w:rsid w:val="00CA7051"/>
    <w:rsid w:val="00CB72AB"/>
    <w:rsid w:val="00CD5AF4"/>
    <w:rsid w:val="00CE1F70"/>
    <w:rsid w:val="00CE323B"/>
    <w:rsid w:val="00CE32BB"/>
    <w:rsid w:val="00CF7BC7"/>
    <w:rsid w:val="00DB40AB"/>
    <w:rsid w:val="00DC3CF3"/>
    <w:rsid w:val="00DF47F3"/>
    <w:rsid w:val="00DF5963"/>
    <w:rsid w:val="00E50515"/>
    <w:rsid w:val="00E57C10"/>
    <w:rsid w:val="00E77AC0"/>
    <w:rsid w:val="00E93216"/>
    <w:rsid w:val="00E94DF6"/>
    <w:rsid w:val="00EA50AB"/>
    <w:rsid w:val="00EB46FA"/>
    <w:rsid w:val="00F03F0F"/>
    <w:rsid w:val="00F1599B"/>
    <w:rsid w:val="00F64908"/>
    <w:rsid w:val="00F858AA"/>
    <w:rsid w:val="00FF4E26"/>
    <w:rsid w:val="7AAC37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 w:themeColor="followedHyperlink"/>
      <w:u w:val="single"/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</w:rPr>
  </w:style>
  <w:style w:type="character" w:styleId="6">
    <w:name w:val="line number"/>
    <w:basedOn w:val="2"/>
    <w:semiHidden/>
    <w:unhideWhenUsed/>
    <w:qFormat/>
    <w:uiPriority w:val="99"/>
  </w:style>
  <w:style w:type="paragraph" w:styleId="7">
    <w:name w:val="Balloon Text"/>
    <w:basedOn w:val="1"/>
    <w:link w:val="16"/>
    <w:semiHidden/>
    <w:unhideWhenUsed/>
    <w:uiPriority w:val="99"/>
    <w:pPr>
      <w:spacing w:after="0" w:line="240" w:lineRule="auto"/>
    </w:pPr>
    <w:rPr>
      <w:rFonts w:ascii="Tahoma" w:hAnsi="Tahoma" w:cs="Tahoma" w:eastAsiaTheme="minorEastAsia"/>
      <w:sz w:val="16"/>
      <w:szCs w:val="16"/>
      <w:lang w:eastAsia="ru-RU"/>
    </w:rPr>
  </w:style>
  <w:style w:type="paragraph" w:styleId="8">
    <w:name w:val="header"/>
    <w:basedOn w:val="1"/>
    <w:link w:val="19"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9">
    <w:name w:val="footer"/>
    <w:basedOn w:val="1"/>
    <w:link w:val="20"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Grid"/>
    <w:basedOn w:val="3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No Spacing"/>
    <w:link w:val="14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3">
    <w:name w:val="Без интервала1"/>
    <w:uiPriority w:val="99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character" w:customStyle="1" w:styleId="14">
    <w:name w:val="Без интервала Знак"/>
    <w:link w:val="12"/>
    <w:locked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  <w:rPr>
      <w:rFonts w:eastAsiaTheme="minorEastAsia"/>
      <w:lang w:eastAsia="ru-RU"/>
    </w:rPr>
  </w:style>
  <w:style w:type="character" w:customStyle="1" w:styleId="16">
    <w:name w:val="Текст выноски Знак"/>
    <w:basedOn w:val="2"/>
    <w:link w:val="7"/>
    <w:semiHidden/>
    <w:uiPriority w:val="99"/>
    <w:rPr>
      <w:rFonts w:ascii="Tahoma" w:hAnsi="Tahoma" w:cs="Tahoma" w:eastAsiaTheme="minorEastAsia"/>
      <w:sz w:val="16"/>
      <w:szCs w:val="16"/>
      <w:lang w:eastAsia="ru-RU"/>
    </w:rPr>
  </w:style>
  <w:style w:type="paragraph" w:customStyle="1" w:styleId="17">
    <w:name w:val="Без интервала2"/>
    <w:uiPriority w:val="99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character" w:customStyle="1" w:styleId="18">
    <w:name w:val="dic_example"/>
    <w:basedOn w:val="2"/>
    <w:uiPriority w:val="0"/>
  </w:style>
  <w:style w:type="character" w:customStyle="1" w:styleId="19">
    <w:name w:val="Верхний колонтитул Знак"/>
    <w:basedOn w:val="2"/>
    <w:link w:val="8"/>
    <w:uiPriority w:val="99"/>
    <w:rPr>
      <w:rFonts w:eastAsiaTheme="minorEastAsia"/>
      <w:lang w:eastAsia="ru-RU"/>
    </w:rPr>
  </w:style>
  <w:style w:type="character" w:customStyle="1" w:styleId="20">
    <w:name w:val="Нижний колонтитул Знак"/>
    <w:basedOn w:val="2"/>
    <w:link w:val="9"/>
    <w:uiPriority w:val="99"/>
    <w:rPr>
      <w:rFonts w:eastAsiaTheme="minorEastAsia"/>
      <w:lang w:eastAsia="ru-RU"/>
    </w:rPr>
  </w:style>
  <w:style w:type="paragraph" w:customStyle="1" w:styleId="21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c2"/>
    <w:basedOn w:val="2"/>
    <w:qFormat/>
    <w:uiPriority w:val="0"/>
  </w:style>
  <w:style w:type="paragraph" w:customStyle="1" w:styleId="23">
    <w:name w:val="Ключевая фраза"/>
    <w:basedOn w:val="1"/>
    <w:link w:val="24"/>
    <w:qFormat/>
    <w:uiPriority w:val="0"/>
    <w:pPr>
      <w:spacing w:after="0" w:line="240" w:lineRule="auto"/>
    </w:pPr>
    <w:rPr>
      <w:rFonts w:eastAsia="Times New Roman" w:cs="Times New Roman"/>
      <w:color w:val="4BACC6" w:themeColor="accent5"/>
      <w:spacing w:val="20"/>
      <w:sz w:val="28"/>
      <w:szCs w:val="20"/>
    </w:rPr>
  </w:style>
  <w:style w:type="character" w:customStyle="1" w:styleId="24">
    <w:name w:val="Ключевая фраза (знак)"/>
    <w:basedOn w:val="2"/>
    <w:link w:val="23"/>
    <w:qFormat/>
    <w:uiPriority w:val="0"/>
    <w:rPr>
      <w:rFonts w:eastAsia="Times New Roman" w:cs="Times New Roman"/>
      <w:color w:val="4BACC6" w:themeColor="accent5"/>
      <w:spacing w:val="2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родителей качеством услуг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bg1"/>
              </a:solidFill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89%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0%</c:formatCode>
                <c:ptCount val="2"/>
                <c:pt idx="0">
                  <c:v>0.99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60"/>
        <c:overlap val="100"/>
        <c:axId val="100967168"/>
        <c:axId val="100968704"/>
      </c:barChart>
      <c:catAx>
        <c:axId val="100967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00968704"/>
        <c:crosses val="autoZero"/>
        <c:auto val="1"/>
        <c:lblAlgn val="ctr"/>
        <c:lblOffset val="100"/>
        <c:noMultiLvlLbl val="0"/>
      </c:catAx>
      <c:valAx>
        <c:axId val="100968704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00967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566c8dcc-fead-4923-95ed-17b037164cda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1001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4C854-2CD3-40C2-8347-30E252C8B7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5429</Words>
  <Characters>30950</Characters>
  <Lines>257</Lines>
  <Paragraphs>72</Paragraphs>
  <TotalTime>64</TotalTime>
  <ScaleCrop>false</ScaleCrop>
  <LinksUpToDate>false</LinksUpToDate>
  <CharactersWithSpaces>36307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2022-04-12T05:22:00Z</dcterms:created>
  <dc:creator>1</dc:creator>
  <cp:lastModifiedBy>operator</cp:lastModifiedBy>
  <dcterms:modified xsi:type="dcterms:W3CDTF">2026-03-30T11:30:21Z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FE43A8E9BBA64E5993BF38ECA3851F79_12</vt:lpwstr>
  </property>
</Properties>
</file>